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keepLines/>
        <w:ind w:firstLine="9356"/>
        <w:jc w:val="center"/>
        <w:outlineLvl w:val="0"/>
        <w:rPr>
          <w:rFonts w:eastAsia="Arial Unicode MS"/>
          <w:sz w:val="28"/>
          <w:szCs w:val="28"/>
          <w:u w:color="000000"/>
          <w:lang w:val="ru-RU"/>
        </w:rPr>
      </w:pPr>
      <w:r>
        <w:rPr>
          <w:rFonts w:eastAsia="Arial Unicode MS"/>
          <w:sz w:val="28"/>
          <w:szCs w:val="28"/>
          <w:u w:color="000000"/>
          <w:lang w:val="ru-RU"/>
        </w:rPr>
        <w:t>УТВЕРЖДЕН</w:t>
      </w:r>
    </w:p>
    <w:p>
      <w:pPr>
        <w:keepNext/>
        <w:keepLines/>
        <w:ind w:firstLine="9356"/>
        <w:jc w:val="center"/>
        <w:outlineLvl w:val="0"/>
        <w:rPr>
          <w:rFonts w:eastAsia="Arial Unicode MS"/>
          <w:sz w:val="28"/>
          <w:szCs w:val="28"/>
          <w:u w:color="000000"/>
          <w:lang w:val="ru-RU"/>
        </w:rPr>
      </w:pPr>
      <w:r>
        <w:rPr>
          <w:rFonts w:eastAsia="Arial Unicode MS"/>
          <w:sz w:val="28"/>
          <w:szCs w:val="28"/>
          <w:u w:color="000000"/>
          <w:lang w:val="ru-RU"/>
        </w:rPr>
        <w:t>протоколом заседания</w:t>
      </w:r>
    </w:p>
    <w:p>
      <w:pPr>
        <w:keepNext/>
        <w:keepLines/>
        <w:ind w:firstLine="9356"/>
        <w:jc w:val="center"/>
        <w:outlineLvl w:val="0"/>
        <w:rPr>
          <w:rFonts w:eastAsia="Arial Unicode MS"/>
          <w:sz w:val="28"/>
          <w:szCs w:val="28"/>
          <w:u w:color="000000"/>
          <w:lang w:val="ru-RU"/>
        </w:rPr>
      </w:pPr>
      <w:r>
        <w:rPr>
          <w:rFonts w:eastAsia="Arial Unicode MS"/>
          <w:sz w:val="28"/>
          <w:szCs w:val="28"/>
          <w:u w:color="000000"/>
          <w:lang w:val="ru-RU"/>
        </w:rPr>
        <w:t>проектного комитета</w:t>
      </w:r>
    </w:p>
    <w:p>
      <w:pPr>
        <w:keepNext/>
        <w:keepLines/>
        <w:ind w:firstLine="9356"/>
        <w:jc w:val="center"/>
        <w:outlineLvl w:val="0"/>
        <w:rPr>
          <w:rFonts w:eastAsia="Arial Unicode MS"/>
          <w:sz w:val="28"/>
          <w:szCs w:val="28"/>
          <w:u w:color="000000"/>
          <w:lang w:val="ru-RU"/>
        </w:rPr>
      </w:pPr>
      <w:r>
        <w:rPr>
          <w:rFonts w:eastAsia="Arial Unicode MS"/>
          <w:sz w:val="28"/>
          <w:szCs w:val="28"/>
          <w:u w:color="000000"/>
          <w:lang w:val="ru-RU"/>
        </w:rPr>
        <w:t>от 21 февраля 2017 г. №</w:t>
      </w:r>
      <w:r>
        <w:rPr>
          <w:rFonts w:eastAsia="Arial Unicode MS"/>
          <w:sz w:val="28"/>
          <w:szCs w:val="28"/>
          <w:u w:color="000000"/>
          <w:lang w:val="ru-RU"/>
        </w:rPr>
        <w:tab/>
        <w:t xml:space="preserve"> 13(2</w:t>
      </w:r>
      <w:bookmarkStart w:id="0" w:name="_GoBack"/>
      <w:bookmarkEnd w:id="0"/>
      <w:r>
        <w:rPr>
          <w:rFonts w:eastAsia="Arial Unicode MS"/>
          <w:sz w:val="28"/>
          <w:szCs w:val="28"/>
          <w:u w:color="000000"/>
          <w:lang w:val="ru-RU"/>
        </w:rPr>
        <w:t>)</w:t>
      </w:r>
    </w:p>
    <w:p>
      <w:pPr>
        <w:keepNext/>
        <w:keepLines/>
        <w:ind w:firstLine="9356"/>
        <w:jc w:val="center"/>
        <w:outlineLvl w:val="0"/>
        <w:rPr>
          <w:rFonts w:eastAsia="Arial Unicode MS"/>
          <w:sz w:val="28"/>
          <w:szCs w:val="28"/>
          <w:u w:color="000000"/>
          <w:lang w:val="ru-RU"/>
        </w:rPr>
      </w:pPr>
    </w:p>
    <w:p>
      <w:pPr>
        <w:keepNext/>
        <w:keepLines/>
        <w:jc w:val="center"/>
        <w:outlineLvl w:val="0"/>
        <w:rPr>
          <w:rFonts w:eastAsia="Arial Unicode MS"/>
          <w:b/>
          <w:sz w:val="28"/>
          <w:szCs w:val="28"/>
          <w:u w:color="000000"/>
          <w:lang w:val="ru-RU"/>
        </w:rPr>
      </w:pPr>
    </w:p>
    <w:p>
      <w:pPr>
        <w:keepNext/>
        <w:keepLines/>
        <w:jc w:val="center"/>
        <w:outlineLvl w:val="0"/>
        <w:rPr>
          <w:rFonts w:eastAsia="Arial Unicode MS"/>
          <w:b/>
          <w:sz w:val="28"/>
          <w:szCs w:val="28"/>
          <w:u w:color="000000"/>
          <w:lang w:val="ru-RU"/>
        </w:rPr>
      </w:pPr>
    </w:p>
    <w:p>
      <w:pPr>
        <w:keepNext/>
        <w:keepLines/>
        <w:jc w:val="center"/>
        <w:outlineLvl w:val="0"/>
        <w:rPr>
          <w:rFonts w:eastAsia="Arial Unicode MS"/>
          <w:b/>
          <w:sz w:val="28"/>
          <w:szCs w:val="28"/>
          <w:u w:color="000000"/>
          <w:lang w:val="ru-RU"/>
        </w:rPr>
      </w:pPr>
      <w:r>
        <w:rPr>
          <w:rFonts w:eastAsia="Arial Unicode MS"/>
          <w:b/>
          <w:sz w:val="28"/>
          <w:szCs w:val="28"/>
          <w:u w:color="000000"/>
          <w:lang w:val="ru-RU"/>
        </w:rPr>
        <w:t>ПАСПОРТ ПРИОРИТЕТНОГО ПРОЕКТА</w:t>
      </w:r>
    </w:p>
    <w:p>
      <w:pPr>
        <w:jc w:val="center"/>
        <w:rPr>
          <w:rFonts w:eastAsia="Arial Unicode MS"/>
          <w:sz w:val="26"/>
          <w:szCs w:val="26"/>
          <w:u w:color="000000"/>
          <w:lang w:val="ru-RU"/>
        </w:rPr>
      </w:pPr>
    </w:p>
    <w:p>
      <w:pPr>
        <w:jc w:val="center"/>
        <w:rPr>
          <w:rFonts w:eastAsia="Arial Unicode MS"/>
          <w:b/>
          <w:sz w:val="26"/>
          <w:szCs w:val="26"/>
          <w:u w:color="000000"/>
          <w:lang w:val="ru-RU"/>
        </w:rPr>
      </w:pPr>
      <w:r>
        <w:rPr>
          <w:rFonts w:eastAsia="Arial Unicode MS"/>
          <w:b/>
          <w:sz w:val="26"/>
          <w:szCs w:val="26"/>
          <w:u w:color="000000"/>
          <w:lang w:val="ru-RU"/>
        </w:rPr>
        <w:t>«Совершенствование контрольной и надзорной деятельности в сфере здравоохранения»</w:t>
      </w:r>
    </w:p>
    <w:p>
      <w:pPr>
        <w:jc w:val="center"/>
        <w:rPr>
          <w:rFonts w:eastAsia="Arial Unicode MS"/>
          <w:sz w:val="26"/>
          <w:szCs w:val="26"/>
          <w:u w:color="000000"/>
          <w:lang w:val="ru-RU"/>
        </w:rPr>
      </w:pPr>
    </w:p>
    <w:p>
      <w:pPr>
        <w:pStyle w:val="a7"/>
        <w:numPr>
          <w:ilvl w:val="0"/>
          <w:numId w:val="8"/>
        </w:numPr>
        <w:jc w:val="center"/>
        <w:rPr>
          <w:rFonts w:eastAsia="Arial Unicode MS"/>
          <w:b/>
          <w:sz w:val="26"/>
          <w:szCs w:val="26"/>
          <w:lang w:val="ru-RU"/>
        </w:rPr>
      </w:pPr>
      <w:r>
        <w:rPr>
          <w:rFonts w:eastAsia="Arial Unicode MS"/>
          <w:b/>
          <w:sz w:val="26"/>
          <w:szCs w:val="26"/>
          <w:lang w:val="ru-RU"/>
        </w:rPr>
        <w:t>ОСНОВНЫЕ ПОЛОЖЕНИЯ</w:t>
      </w:r>
    </w:p>
    <w:p>
      <w:pPr>
        <w:pStyle w:val="a7"/>
        <w:rPr>
          <w:rFonts w:eastAsia="Arial Unicode MS"/>
          <w:b/>
          <w:sz w:val="26"/>
          <w:szCs w:val="26"/>
          <w:lang w:val="ru-RU"/>
        </w:rPr>
      </w:pPr>
    </w:p>
    <w:p>
      <w:pPr>
        <w:pStyle w:val="a7"/>
        <w:rPr>
          <w:rFonts w:eastAsia="Arial Unicode MS"/>
          <w:sz w:val="16"/>
          <w:szCs w:val="16"/>
          <w:u w:color="000000"/>
          <w:lang w:val="ru-RU"/>
        </w:rPr>
      </w:pPr>
    </w:p>
    <w:tbl>
      <w:tblPr>
        <w:tblpPr w:leftFromText="180" w:rightFromText="180" w:vertAnchor="text" w:tblpX="57" w:tblpY="1"/>
        <w:tblOverlap w:val="never"/>
        <w:tblW w:w="15933" w:type="dxa"/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5"/>
        <w:gridCol w:w="8364"/>
        <w:gridCol w:w="2835"/>
        <w:gridCol w:w="2409"/>
      </w:tblGrid>
      <w:tr>
        <w:trPr>
          <w:cantSplit/>
          <w:trHeight w:val="1069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vAlign w:val="center"/>
            <w:hideMark/>
          </w:tcPr>
          <w:p>
            <w:pPr>
              <w:jc w:val="center"/>
              <w:rPr>
                <w:rFonts w:eastAsia="Arial Unicode MS"/>
                <w:b/>
                <w:sz w:val="26"/>
                <w:szCs w:val="26"/>
                <w:lang w:val="ru-RU"/>
              </w:rPr>
            </w:pPr>
            <w:r>
              <w:rPr>
                <w:rFonts w:eastAsia="Arial Unicode MS"/>
                <w:b/>
                <w:sz w:val="26"/>
                <w:szCs w:val="26"/>
                <w:lang w:val="ru-RU"/>
              </w:rPr>
              <w:t>Краткое наименование проекта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vAlign w:val="center"/>
            <w:hideMark/>
          </w:tcPr>
          <w:p>
            <w:pPr>
              <w:jc w:val="center"/>
              <w:rPr>
                <w:lang w:val="ru-RU"/>
              </w:rPr>
            </w:pPr>
            <w:r>
              <w:rPr>
                <w:rFonts w:eastAsia="Arial Unicode MS"/>
                <w:i/>
                <w:sz w:val="26"/>
                <w:szCs w:val="26"/>
                <w:u w:color="000000"/>
                <w:lang w:val="ru-RU"/>
              </w:rPr>
              <w:t>Контроль в сфере здравоохранения*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>
            <w:pPr>
              <w:jc w:val="center"/>
              <w:rPr>
                <w:rFonts w:eastAsia="Arial Unicode MS"/>
                <w:b/>
                <w:sz w:val="26"/>
                <w:szCs w:val="26"/>
                <w:lang w:val="ru-RU"/>
              </w:rPr>
            </w:pPr>
            <w:r>
              <w:rPr>
                <w:rFonts w:eastAsia="Arial Unicode MS"/>
                <w:b/>
                <w:sz w:val="26"/>
                <w:szCs w:val="26"/>
                <w:lang w:val="ru-RU"/>
              </w:rPr>
              <w:t>Срок начала и окончания проекта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>
            <w:pPr>
              <w:jc w:val="center"/>
              <w:rPr>
                <w:rFonts w:eastAsia="Arial Unicode MS"/>
                <w:i/>
                <w:sz w:val="26"/>
                <w:szCs w:val="26"/>
                <w:lang w:val="ru-RU"/>
              </w:rPr>
            </w:pPr>
            <w:r>
              <w:rPr>
                <w:rFonts w:eastAsia="Arial Unicode MS"/>
                <w:i/>
                <w:sz w:val="26"/>
                <w:szCs w:val="26"/>
                <w:lang w:val="ru-RU"/>
              </w:rPr>
              <w:t>21.02.2017 – 31.12.2025</w:t>
            </w:r>
          </w:p>
        </w:tc>
      </w:tr>
      <w:tr>
        <w:trPr>
          <w:cantSplit/>
          <w:trHeight w:val="194"/>
        </w:trPr>
        <w:tc>
          <w:tcPr>
            <w:tcW w:w="2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hideMark/>
          </w:tcPr>
          <w:p>
            <w:pPr>
              <w:rPr>
                <w:rFonts w:eastAsia="Arial Unicode MS"/>
                <w:b/>
                <w:sz w:val="26"/>
                <w:szCs w:val="26"/>
                <w:lang w:val="ru-RU"/>
              </w:rPr>
            </w:pPr>
            <w:r>
              <w:rPr>
                <w:rFonts w:eastAsia="Arial Unicode MS"/>
                <w:b/>
                <w:sz w:val="26"/>
                <w:szCs w:val="26"/>
                <w:lang w:val="ru-RU"/>
              </w:rPr>
              <w:t>Куратор</w:t>
            </w:r>
          </w:p>
        </w:tc>
        <w:tc>
          <w:tcPr>
            <w:tcW w:w="13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hideMark/>
          </w:tcPr>
          <w:p>
            <w:pPr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С.Э. Приходько, Заместитель Председателя правительства Российской Федерации</w:t>
            </w:r>
          </w:p>
        </w:tc>
      </w:tr>
      <w:tr>
        <w:trPr>
          <w:cantSplit/>
          <w:trHeight w:val="194"/>
        </w:trPr>
        <w:tc>
          <w:tcPr>
            <w:tcW w:w="2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</w:tcPr>
          <w:p>
            <w:pPr>
              <w:rPr>
                <w:rFonts w:eastAsia="Arial Unicode MS"/>
                <w:b/>
                <w:sz w:val="26"/>
                <w:szCs w:val="26"/>
                <w:lang w:val="ru-RU"/>
              </w:rPr>
            </w:pPr>
            <w:r>
              <w:rPr>
                <w:rFonts w:eastAsia="Arial Unicode MS"/>
                <w:b/>
                <w:sz w:val="26"/>
                <w:szCs w:val="26"/>
                <w:lang w:val="ru-RU"/>
              </w:rPr>
              <w:t>Старшее должностное лицо</w:t>
            </w:r>
          </w:p>
        </w:tc>
        <w:tc>
          <w:tcPr>
            <w:tcW w:w="13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</w:tcPr>
          <w:p>
            <w:pPr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М.А. Абызов, Министр Российской Федерации</w:t>
            </w:r>
          </w:p>
        </w:tc>
      </w:tr>
      <w:tr>
        <w:trPr>
          <w:cantSplit/>
          <w:trHeight w:val="617"/>
        </w:trPr>
        <w:tc>
          <w:tcPr>
            <w:tcW w:w="2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hideMark/>
          </w:tcPr>
          <w:p>
            <w:pPr>
              <w:rPr>
                <w:rFonts w:eastAsia="Arial Unicode MS"/>
                <w:b/>
                <w:sz w:val="26"/>
                <w:szCs w:val="26"/>
                <w:lang w:val="ru-RU"/>
              </w:rPr>
            </w:pPr>
            <w:r>
              <w:rPr>
                <w:rFonts w:eastAsia="Arial Unicode MS"/>
                <w:b/>
                <w:sz w:val="26"/>
                <w:szCs w:val="26"/>
                <w:lang w:val="ru-RU"/>
              </w:rPr>
              <w:t>Функциональный заказчик</w:t>
            </w:r>
          </w:p>
        </w:tc>
        <w:tc>
          <w:tcPr>
            <w:tcW w:w="13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hideMark/>
          </w:tcPr>
          <w:p>
            <w:pPr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Проектный комитет по основному направлению стратегического развития «Реформа контрольной и надзорной деятельности»</w:t>
            </w:r>
          </w:p>
        </w:tc>
      </w:tr>
      <w:tr>
        <w:trPr>
          <w:cantSplit/>
          <w:trHeight w:val="401"/>
        </w:trPr>
        <w:tc>
          <w:tcPr>
            <w:tcW w:w="2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hideMark/>
          </w:tcPr>
          <w:p>
            <w:pPr>
              <w:rPr>
                <w:rFonts w:eastAsia="Arial Unicode MS"/>
                <w:b/>
                <w:sz w:val="26"/>
                <w:szCs w:val="26"/>
                <w:lang w:val="ru-RU"/>
              </w:rPr>
            </w:pPr>
            <w:r>
              <w:rPr>
                <w:rFonts w:eastAsia="Arial Unicode MS"/>
                <w:b/>
                <w:sz w:val="26"/>
                <w:szCs w:val="26"/>
                <w:lang w:val="ru-RU"/>
              </w:rPr>
              <w:t>Руководитель проекта</w:t>
            </w:r>
          </w:p>
        </w:tc>
        <w:tc>
          <w:tcPr>
            <w:tcW w:w="13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hideMark/>
          </w:tcPr>
          <w:p>
            <w:pPr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 xml:space="preserve">М.А. Мурашко, руководитель Федеральной службы по надзору в сфере здравоохранения </w:t>
            </w:r>
          </w:p>
        </w:tc>
      </w:tr>
      <w:tr>
        <w:trPr>
          <w:cantSplit/>
          <w:trHeight w:val="962"/>
        </w:trPr>
        <w:tc>
          <w:tcPr>
            <w:tcW w:w="2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</w:tcPr>
          <w:p>
            <w:pPr>
              <w:rPr>
                <w:rFonts w:eastAsia="Arial Unicode MS"/>
                <w:b/>
                <w:sz w:val="26"/>
                <w:szCs w:val="26"/>
                <w:lang w:val="ru-RU"/>
              </w:rPr>
            </w:pPr>
            <w:r>
              <w:rPr>
                <w:rFonts w:eastAsia="Arial Unicode MS"/>
                <w:b/>
                <w:sz w:val="26"/>
                <w:szCs w:val="26"/>
                <w:lang w:val="ru-RU"/>
              </w:rPr>
              <w:t>Разработчик проекта</w:t>
            </w:r>
          </w:p>
        </w:tc>
        <w:tc>
          <w:tcPr>
            <w:tcW w:w="13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</w:tcPr>
          <w:p>
            <w:pPr>
              <w:pStyle w:val="ConsPlusNormal"/>
              <w:rPr>
                <w:rFonts w:eastAsia="Arial Unicode MS"/>
                <w:sz w:val="26"/>
                <w:szCs w:val="26"/>
                <w:lang w:eastAsia="en-US"/>
              </w:rPr>
            </w:pPr>
            <w:r>
              <w:rPr>
                <w:rFonts w:eastAsia="Arial Unicode MS"/>
                <w:sz w:val="26"/>
                <w:szCs w:val="26"/>
                <w:lang w:eastAsia="en-US"/>
              </w:rPr>
              <w:t>Рабочая группа по подготовке паспорта проекта Росздравнадзора:</w:t>
            </w:r>
          </w:p>
          <w:p>
            <w:pPr>
              <w:pStyle w:val="ConsPlusNormal"/>
              <w:rPr>
                <w:rFonts w:eastAsia="Arial Unicode MS"/>
                <w:sz w:val="26"/>
                <w:szCs w:val="26"/>
                <w:lang w:eastAsia="en-US"/>
              </w:rPr>
            </w:pPr>
            <w:r>
              <w:rPr>
                <w:rFonts w:eastAsia="Arial Unicode MS"/>
                <w:sz w:val="26"/>
                <w:szCs w:val="26"/>
                <w:lang w:eastAsia="en-US"/>
              </w:rPr>
              <w:t>Павлюков Д.Ю., Пархоменко Д.В., Серёгина И.Ф., Астапенко Е.М., Крупнова И.В., Косенко В.В., Лисовой Л.В., Масельонес Е.В., Поспелов К.Г., Шаронов А.Н.</w:t>
            </w:r>
          </w:p>
        </w:tc>
      </w:tr>
      <w:tr>
        <w:trPr>
          <w:cantSplit/>
          <w:trHeight w:val="1181"/>
        </w:trPr>
        <w:tc>
          <w:tcPr>
            <w:tcW w:w="23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hideMark/>
          </w:tcPr>
          <w:p>
            <w:pPr>
              <w:rPr>
                <w:rFonts w:eastAsia="Arial Unicode MS"/>
                <w:b/>
                <w:sz w:val="26"/>
                <w:szCs w:val="26"/>
                <w:lang w:val="ru-RU"/>
              </w:rPr>
            </w:pPr>
            <w:r>
              <w:rPr>
                <w:rFonts w:eastAsia="Arial Unicode MS"/>
                <w:b/>
                <w:sz w:val="26"/>
                <w:szCs w:val="26"/>
                <w:lang w:val="ru-RU"/>
              </w:rPr>
              <w:lastRenderedPageBreak/>
              <w:t>Ключевые участники проекта</w:t>
            </w:r>
          </w:p>
        </w:tc>
        <w:tc>
          <w:tcPr>
            <w:tcW w:w="13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</w:tcPr>
          <w:p>
            <w:pPr>
              <w:pStyle w:val="ConsPlusNormal"/>
              <w:jc w:val="both"/>
              <w:rPr>
                <w:rFonts w:eastAsia="Arial Unicode MS"/>
                <w:sz w:val="26"/>
                <w:szCs w:val="26"/>
                <w:lang w:eastAsia="en-US"/>
              </w:rPr>
            </w:pPr>
            <w:r>
              <w:rPr>
                <w:rFonts w:eastAsia="Arial Unicode MS"/>
                <w:sz w:val="26"/>
                <w:szCs w:val="26"/>
                <w:lang w:eastAsia="en-US"/>
              </w:rPr>
              <w:t xml:space="preserve">Минэкономразвития России, Минюст России, Минкомсвязь России, Минтруд России, Минздрав России, территориальные органы Росздравнадзора, ФГБУ «Центр мониторинга и клинико-экономической экспертизы» Росздравнадзора, ФГБУ "ВНИИИМТ" Росздравнадзора, ФГБУ «ЦМИКЭЭ» Росздравнадзора, </w:t>
            </w:r>
            <w:r>
              <w:rPr>
                <w:sz w:val="26"/>
                <w:szCs w:val="26"/>
              </w:rPr>
              <w:t xml:space="preserve">Торгово-промышленная палата Российской Федерации, </w:t>
            </w:r>
            <w:r>
              <w:rPr>
                <w:rFonts w:eastAsia="Arial Unicode MS"/>
                <w:sz w:val="26"/>
                <w:szCs w:val="26"/>
                <w:lang w:eastAsia="en-US"/>
              </w:rPr>
              <w:t xml:space="preserve">Общероссийская общественная организация малого и среднего предпринимательства «ОПОРА РОССИИ», Общественный Совет по защите прав пациентов при Росздравнадзоре, Профессиональные СРО </w:t>
            </w:r>
          </w:p>
        </w:tc>
      </w:tr>
    </w:tbl>
    <w:p>
      <w:pPr>
        <w:jc w:val="center"/>
        <w:rPr>
          <w:rFonts w:eastAsia="Arial Unicode MS"/>
          <w:b/>
          <w:sz w:val="26"/>
          <w:szCs w:val="26"/>
          <w:lang w:val="ru-RU"/>
        </w:rPr>
      </w:pPr>
    </w:p>
    <w:p>
      <w:pPr>
        <w:jc w:val="center"/>
        <w:rPr>
          <w:rFonts w:eastAsia="Arial Unicode MS"/>
          <w:b/>
          <w:sz w:val="26"/>
          <w:szCs w:val="26"/>
          <w:lang w:val="ru-RU"/>
        </w:rPr>
      </w:pPr>
    </w:p>
    <w:p>
      <w:pPr>
        <w:jc w:val="center"/>
        <w:rPr>
          <w:rFonts w:eastAsia="Arial Unicode MS"/>
          <w:b/>
          <w:sz w:val="26"/>
          <w:szCs w:val="26"/>
          <w:lang w:val="ru-RU"/>
        </w:rPr>
      </w:pPr>
    </w:p>
    <w:p>
      <w:pPr>
        <w:jc w:val="center"/>
        <w:rPr>
          <w:rFonts w:eastAsia="Arial Unicode MS"/>
          <w:b/>
          <w:sz w:val="26"/>
          <w:szCs w:val="26"/>
          <w:lang w:val="ru-RU"/>
        </w:rPr>
      </w:pPr>
    </w:p>
    <w:p>
      <w:pPr>
        <w:jc w:val="center"/>
        <w:rPr>
          <w:rFonts w:eastAsia="Arial Unicode MS"/>
          <w:b/>
          <w:sz w:val="26"/>
          <w:szCs w:val="26"/>
          <w:lang w:val="ru-RU"/>
        </w:rPr>
      </w:pPr>
      <w:r>
        <w:rPr>
          <w:rFonts w:eastAsia="Arial Unicode MS"/>
          <w:b/>
          <w:sz w:val="26"/>
          <w:szCs w:val="26"/>
        </w:rPr>
        <w:t>2.</w:t>
      </w:r>
      <w:r>
        <w:rPr>
          <w:b/>
        </w:rPr>
        <w:t> </w:t>
      </w:r>
      <w:r>
        <w:rPr>
          <w:rFonts w:eastAsia="Arial Unicode MS"/>
          <w:b/>
          <w:sz w:val="26"/>
          <w:szCs w:val="26"/>
        </w:rPr>
        <w:t>СОДЕРЖАНИЕ ПРИОРИТЕТНОГО ПРОЕКТА</w:t>
      </w:r>
    </w:p>
    <w:tbl>
      <w:tblPr>
        <w:tblW w:w="16018" w:type="dxa"/>
        <w:tblInd w:w="-114" w:type="dxa"/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7"/>
        <w:gridCol w:w="553"/>
        <w:gridCol w:w="14398"/>
      </w:tblGrid>
      <w:tr>
        <w:trPr>
          <w:gridAfter w:val="2"/>
          <w:wAfter w:w="14951" w:type="dxa"/>
          <w:cantSplit/>
          <w:trHeight w:val="18"/>
        </w:trPr>
        <w:tc>
          <w:tcPr>
            <w:tcW w:w="106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>
            <w:pPr>
              <w:pStyle w:val="ConsPlusNormal"/>
              <w:jc w:val="both"/>
              <w:rPr>
                <w:rFonts w:eastAsia="Arial Unicode MS"/>
                <w:b/>
                <w:sz w:val="26"/>
                <w:szCs w:val="26"/>
              </w:rPr>
            </w:pPr>
          </w:p>
        </w:tc>
      </w:tr>
      <w:tr>
        <w:trPr>
          <w:cantSplit/>
          <w:trHeight w:val="779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vAlign w:val="center"/>
            <w:hideMark/>
          </w:tcPr>
          <w:p>
            <w:pPr>
              <w:jc w:val="center"/>
              <w:rPr>
                <w:rFonts w:eastAsia="Arial Unicode MS"/>
                <w:b/>
                <w:lang w:val="ru-RU"/>
              </w:rPr>
            </w:pPr>
            <w:r>
              <w:rPr>
                <w:rFonts w:eastAsia="Arial Unicode MS"/>
                <w:b/>
                <w:lang w:val="ru-RU"/>
              </w:rPr>
              <w:t>Цель проекта</w:t>
            </w:r>
          </w:p>
        </w:tc>
        <w:tc>
          <w:tcPr>
            <w:tcW w:w="1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vAlign w:val="center"/>
          </w:tcPr>
          <w:p>
            <w:pPr>
              <w:pStyle w:val="a7"/>
              <w:numPr>
                <w:ilvl w:val="0"/>
                <w:numId w:val="9"/>
              </w:numPr>
              <w:tabs>
                <w:tab w:val="center" w:pos="25"/>
              </w:tabs>
              <w:jc w:val="both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Снижение количества смертельных случаев по контролируемым видам деятельности в сфере здравоохранения* на 2 % от уровня 2015 года к 2019 году и на 1% ежегодно от показателя предыдущего года.</w:t>
            </w:r>
          </w:p>
          <w:p>
            <w:pPr>
              <w:pStyle w:val="a7"/>
              <w:numPr>
                <w:ilvl w:val="0"/>
                <w:numId w:val="9"/>
              </w:numPr>
              <w:jc w:val="both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Снижение при осуществлении контроля административных и финансовых издержек граждан и организаций, осуществляющих предпринимательскую и иные виды деятельности, связанные с контрольно-надзорной деятельностью Росздравнадзора, не менее чем на 10% от уровня 2015 года к 2018 году и на 3% ежегодно от показателя предыдущего года.</w:t>
            </w:r>
          </w:p>
          <w:p>
            <w:pPr>
              <w:pStyle w:val="a7"/>
              <w:numPr>
                <w:ilvl w:val="0"/>
                <w:numId w:val="9"/>
              </w:numPr>
              <w:jc w:val="both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 xml:space="preserve"> Рост индекса качества администрирования контрольно-надзорных функций</w:t>
            </w:r>
          </w:p>
          <w:p>
            <w:pPr>
              <w:ind w:left="266"/>
              <w:jc w:val="both"/>
              <w:rPr>
                <w:rFonts w:eastAsia="Arial Unicode MS"/>
                <w:bCs/>
                <w:lang w:val="ru-RU"/>
              </w:rPr>
            </w:pPr>
          </w:p>
        </w:tc>
      </w:tr>
      <w:tr>
        <w:trPr>
          <w:cantSplit/>
          <w:trHeight w:val="4171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vAlign w:val="center"/>
          </w:tcPr>
          <w:p>
            <w:pPr>
              <w:jc w:val="center"/>
              <w:rPr>
                <w:rFonts w:eastAsia="Arial Unicode MS"/>
                <w:b/>
                <w:lang w:val="ru-RU"/>
              </w:rPr>
            </w:pPr>
          </w:p>
        </w:tc>
        <w:tc>
          <w:tcPr>
            <w:tcW w:w="1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vAlign w:val="center"/>
          </w:tcPr>
          <w:p>
            <w:pPr>
              <w:tabs>
                <w:tab w:val="center" w:pos="25"/>
              </w:tabs>
              <w:jc w:val="both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*</w:t>
            </w:r>
            <w:r>
              <w:rPr>
                <w:lang w:val="ru-RU"/>
              </w:rPr>
              <w:t xml:space="preserve"> </w:t>
            </w:r>
            <w:r>
              <w:rPr>
                <w:rFonts w:eastAsia="Arial Unicode MS"/>
                <w:bCs/>
                <w:lang w:val="ru-RU"/>
              </w:rPr>
              <w:t>Контролируемые виды деятельности в сфере здравоохранения:</w:t>
            </w:r>
          </w:p>
          <w:p>
            <w:pPr>
              <w:tabs>
                <w:tab w:val="center" w:pos="25"/>
              </w:tabs>
              <w:jc w:val="both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 xml:space="preserve"> 1. Государственный контроль качества и безопасности медицинской деятельности.</w:t>
            </w:r>
          </w:p>
          <w:p>
            <w:pPr>
              <w:tabs>
                <w:tab w:val="center" w:pos="25"/>
              </w:tabs>
              <w:jc w:val="both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2. Федеральный государственный надзор в сфере обращения лекарственных средств.</w:t>
            </w:r>
          </w:p>
          <w:p>
            <w:pPr>
              <w:tabs>
                <w:tab w:val="center" w:pos="25"/>
              </w:tabs>
              <w:jc w:val="both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3. Государственный контроль за обращением медицинских изделий,</w:t>
            </w:r>
          </w:p>
          <w:p>
            <w:pPr>
              <w:tabs>
                <w:tab w:val="center" w:pos="25"/>
              </w:tabs>
              <w:jc w:val="both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 xml:space="preserve"> в том числе сопряженные виды лицензионного контроля:</w:t>
            </w:r>
          </w:p>
          <w:p>
            <w:pPr>
              <w:tabs>
                <w:tab w:val="center" w:pos="25"/>
              </w:tabs>
              <w:jc w:val="both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- лицензионный контроль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"Сколково");</w:t>
            </w:r>
          </w:p>
          <w:p>
            <w:pPr>
              <w:tabs>
                <w:tab w:val="center" w:pos="25"/>
              </w:tabs>
              <w:jc w:val="both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- лицензионный контроль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техники;</w:t>
            </w:r>
          </w:p>
          <w:p>
            <w:pPr>
              <w:tabs>
                <w:tab w:val="center" w:pos="25"/>
              </w:tabs>
              <w:jc w:val="both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- лицензионный контроль фармацевтической деятельности;</w:t>
            </w:r>
          </w:p>
          <w:p>
            <w:pPr>
              <w:tabs>
                <w:tab w:val="center" w:pos="25"/>
              </w:tabs>
              <w:jc w:val="both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- лицензионный контроль оборота наркотических средств, психотропных веществ и их прекурсоров, культивированию наркосодержащих растений.</w:t>
            </w:r>
          </w:p>
        </w:tc>
      </w:tr>
    </w:tbl>
    <w:p>
      <w:pPr>
        <w:rPr>
          <w:lang w:val="ru-RU"/>
        </w:rPr>
      </w:pPr>
    </w:p>
    <w:tbl>
      <w:tblPr>
        <w:tblpPr w:leftFromText="180" w:rightFromText="180" w:vertAnchor="text" w:tblpX="-120" w:tblpY="1"/>
        <w:tblOverlap w:val="never"/>
        <w:tblW w:w="16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3"/>
        <w:gridCol w:w="4002"/>
        <w:gridCol w:w="1608"/>
        <w:gridCol w:w="1208"/>
        <w:gridCol w:w="848"/>
        <w:gridCol w:w="950"/>
        <w:gridCol w:w="904"/>
        <w:gridCol w:w="943"/>
        <w:gridCol w:w="997"/>
        <w:gridCol w:w="998"/>
        <w:gridCol w:w="997"/>
        <w:gridCol w:w="1140"/>
      </w:tblGrid>
      <w:tr>
        <w:trPr>
          <w:trHeight w:val="1555"/>
        </w:trPr>
        <w:tc>
          <w:tcPr>
            <w:tcW w:w="1413" w:type="dxa"/>
            <w:vMerge w:val="restart"/>
            <w:shd w:val="clear" w:color="auto" w:fill="FFFFFF"/>
          </w:tcPr>
          <w:p>
            <w:pPr>
              <w:rPr>
                <w:rFonts w:eastAsia="Arial Unicode MS"/>
                <w:b/>
                <w:lang w:val="ru-RU"/>
              </w:rPr>
            </w:pPr>
          </w:p>
          <w:p>
            <w:pPr>
              <w:rPr>
                <w:rFonts w:eastAsia="Arial Unicode MS"/>
                <w:b/>
                <w:lang w:val="ru-RU"/>
              </w:rPr>
            </w:pPr>
          </w:p>
          <w:p>
            <w:pPr>
              <w:rPr>
                <w:rFonts w:eastAsia="Arial Unicode MS"/>
                <w:b/>
                <w:lang w:val="ru-RU"/>
              </w:rPr>
            </w:pPr>
          </w:p>
          <w:p>
            <w:pPr>
              <w:rPr>
                <w:rFonts w:eastAsia="Arial Unicode MS"/>
                <w:b/>
                <w:lang w:val="ru-RU"/>
              </w:rPr>
            </w:pPr>
          </w:p>
          <w:p>
            <w:pPr>
              <w:rPr>
                <w:rFonts w:eastAsia="Arial Unicode MS"/>
                <w:b/>
                <w:lang w:val="ru-RU"/>
              </w:rPr>
            </w:pPr>
          </w:p>
          <w:p>
            <w:pPr>
              <w:rPr>
                <w:rFonts w:eastAsia="Arial Unicode MS"/>
                <w:b/>
                <w:lang w:val="ru-RU"/>
              </w:rPr>
            </w:pPr>
          </w:p>
          <w:p>
            <w:pPr>
              <w:rPr>
                <w:rFonts w:eastAsia="Arial Unicode MS"/>
                <w:b/>
                <w:lang w:val="ru-RU"/>
              </w:rPr>
            </w:pPr>
          </w:p>
          <w:p>
            <w:pPr>
              <w:rPr>
                <w:rFonts w:eastAsia="Arial Unicode MS"/>
                <w:b/>
                <w:lang w:val="ru-RU"/>
              </w:rPr>
            </w:pPr>
          </w:p>
          <w:p>
            <w:pPr>
              <w:rPr>
                <w:rFonts w:eastAsia="Arial Unicode MS"/>
                <w:b/>
                <w:lang w:val="ru-RU"/>
              </w:rPr>
            </w:pPr>
          </w:p>
          <w:p>
            <w:pPr>
              <w:rPr>
                <w:rFonts w:eastAsia="Arial Unicode MS"/>
                <w:b/>
                <w:lang w:val="ru-RU"/>
              </w:rPr>
            </w:pPr>
            <w:r>
              <w:rPr>
                <w:rFonts w:eastAsia="Arial Unicode MS"/>
                <w:b/>
                <w:lang w:val="ru-RU"/>
              </w:rPr>
              <w:t>Показатели проекта и их значения по годам</w:t>
            </w:r>
          </w:p>
          <w:p>
            <w:pPr>
              <w:rPr>
                <w:rFonts w:eastAsia="Arial Unicode MS"/>
                <w:lang w:val="ru-RU"/>
              </w:rPr>
            </w:pPr>
          </w:p>
        </w:tc>
        <w:tc>
          <w:tcPr>
            <w:tcW w:w="4002" w:type="dxa"/>
            <w:vMerge w:val="restart"/>
            <w:shd w:val="clear" w:color="auto" w:fill="FFFFFF"/>
            <w:vAlign w:val="center"/>
          </w:tcPr>
          <w:p>
            <w:pPr>
              <w:rPr>
                <w:rFonts w:eastAsia="Arial Unicode MS"/>
                <w:bCs/>
                <w:i/>
                <w:lang w:val="ru-RU"/>
              </w:rPr>
            </w:pPr>
            <w:r>
              <w:rPr>
                <w:rFonts w:eastAsia="Arial Unicode MS"/>
                <w:lang w:val="ru-RU"/>
              </w:rPr>
              <w:t>Показатель</w:t>
            </w:r>
          </w:p>
        </w:tc>
        <w:tc>
          <w:tcPr>
            <w:tcW w:w="1608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Тип показателя</w:t>
            </w:r>
          </w:p>
        </w:tc>
        <w:tc>
          <w:tcPr>
            <w:tcW w:w="1208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Базовое  значение*</w:t>
            </w:r>
          </w:p>
        </w:tc>
        <w:tc>
          <w:tcPr>
            <w:tcW w:w="7777" w:type="dxa"/>
            <w:gridSpan w:val="8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eastAsia="Arial Unicode MS"/>
                <w:bCs/>
                <w:lang w:val="ru-RU"/>
              </w:rPr>
              <w:t>Период, год</w:t>
            </w:r>
          </w:p>
        </w:tc>
      </w:tr>
      <w:tr>
        <w:trPr>
          <w:trHeight w:val="452"/>
        </w:trPr>
        <w:tc>
          <w:tcPr>
            <w:tcW w:w="1413" w:type="dxa"/>
            <w:vMerge/>
            <w:shd w:val="clear" w:color="auto" w:fill="FFFFFF"/>
          </w:tcPr>
          <w:p>
            <w:pPr>
              <w:rPr>
                <w:rFonts w:eastAsia="Arial Unicode MS"/>
                <w:b/>
                <w:lang w:val="ru-RU"/>
              </w:rPr>
            </w:pPr>
          </w:p>
        </w:tc>
        <w:tc>
          <w:tcPr>
            <w:tcW w:w="4002" w:type="dxa"/>
            <w:vMerge/>
            <w:shd w:val="clear" w:color="auto" w:fill="FFFFFF"/>
            <w:vAlign w:val="center"/>
          </w:tcPr>
          <w:p>
            <w:pPr>
              <w:rPr>
                <w:rFonts w:eastAsia="Arial Unicode MS"/>
                <w:bCs/>
                <w:i/>
                <w:lang w:val="ru-RU"/>
              </w:rPr>
            </w:pPr>
          </w:p>
        </w:tc>
        <w:tc>
          <w:tcPr>
            <w:tcW w:w="1608" w:type="dxa"/>
            <w:vMerge/>
            <w:shd w:val="clear" w:color="auto" w:fill="FFFFFF"/>
            <w:vAlign w:val="center"/>
          </w:tcPr>
          <w:p>
            <w:pPr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1208" w:type="dxa"/>
            <w:vMerge/>
            <w:shd w:val="clear" w:color="auto" w:fill="FFFFFF"/>
            <w:vAlign w:val="center"/>
          </w:tcPr>
          <w:p>
            <w:pPr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>
            <w:r>
              <w:t>2017</w:t>
            </w:r>
          </w:p>
        </w:tc>
        <w:tc>
          <w:tcPr>
            <w:tcW w:w="950" w:type="dxa"/>
            <w:shd w:val="clear" w:color="auto" w:fill="FFFFFF"/>
            <w:vAlign w:val="center"/>
          </w:tcPr>
          <w:p>
            <w:r>
              <w:t>2018</w:t>
            </w:r>
          </w:p>
        </w:tc>
        <w:tc>
          <w:tcPr>
            <w:tcW w:w="904" w:type="dxa"/>
            <w:shd w:val="clear" w:color="auto" w:fill="FFFFFF"/>
            <w:vAlign w:val="center"/>
          </w:tcPr>
          <w:p>
            <w:r>
              <w:t>2019</w:t>
            </w:r>
          </w:p>
        </w:tc>
        <w:tc>
          <w:tcPr>
            <w:tcW w:w="943" w:type="dxa"/>
            <w:shd w:val="clear" w:color="auto" w:fill="FFFFFF"/>
            <w:vAlign w:val="center"/>
          </w:tcPr>
          <w:p>
            <w:r>
              <w:t>2020</w:t>
            </w:r>
          </w:p>
        </w:tc>
        <w:tc>
          <w:tcPr>
            <w:tcW w:w="997" w:type="dxa"/>
            <w:shd w:val="clear" w:color="auto" w:fill="FFFFFF"/>
            <w:vAlign w:val="center"/>
          </w:tcPr>
          <w:p>
            <w:r>
              <w:t>2021</w:t>
            </w:r>
          </w:p>
        </w:tc>
        <w:tc>
          <w:tcPr>
            <w:tcW w:w="998" w:type="dxa"/>
            <w:shd w:val="clear" w:color="auto" w:fill="FFFFFF"/>
            <w:vAlign w:val="center"/>
          </w:tcPr>
          <w:p>
            <w:r>
              <w:t>2022</w:t>
            </w:r>
          </w:p>
        </w:tc>
        <w:tc>
          <w:tcPr>
            <w:tcW w:w="997" w:type="dxa"/>
            <w:shd w:val="clear" w:color="auto" w:fill="FFFFFF"/>
            <w:vAlign w:val="center"/>
          </w:tcPr>
          <w:p>
            <w:r>
              <w:t>2023</w:t>
            </w:r>
          </w:p>
        </w:tc>
        <w:tc>
          <w:tcPr>
            <w:tcW w:w="1140" w:type="dxa"/>
            <w:shd w:val="clear" w:color="auto" w:fill="FFFFFF"/>
            <w:vAlign w:val="center"/>
          </w:tcPr>
          <w:p>
            <w:r>
              <w:t>2024</w:t>
            </w:r>
          </w:p>
        </w:tc>
      </w:tr>
      <w:tr>
        <w:trPr>
          <w:trHeight w:val="452"/>
        </w:trPr>
        <w:tc>
          <w:tcPr>
            <w:tcW w:w="1413" w:type="dxa"/>
            <w:vMerge/>
            <w:shd w:val="clear" w:color="auto" w:fill="FFFFFF"/>
          </w:tcPr>
          <w:p>
            <w:pPr>
              <w:rPr>
                <w:rFonts w:eastAsia="Arial Unicode MS"/>
                <w:b/>
                <w:lang w:val="ru-RU"/>
              </w:rPr>
            </w:pPr>
          </w:p>
        </w:tc>
        <w:tc>
          <w:tcPr>
            <w:tcW w:w="4002" w:type="dxa"/>
            <w:shd w:val="clear" w:color="auto" w:fill="FFFFFF"/>
          </w:tcPr>
          <w:p>
            <w:pPr>
              <w:jc w:val="both"/>
              <w:rPr>
                <w:rFonts w:eastAsia="Arial Unicode MS"/>
                <w:bCs/>
                <w:i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1.</w:t>
            </w:r>
            <w:r>
              <w:rPr>
                <w:rFonts w:eastAsia="Arial Unicode MS"/>
                <w:bCs/>
                <w:lang w:val="ru-RU"/>
              </w:rPr>
              <w:tab/>
              <w:t>Снижение количества смертельных случаев по контролируемым видам деятельности</w:t>
            </w:r>
          </w:p>
        </w:tc>
        <w:tc>
          <w:tcPr>
            <w:tcW w:w="16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1208" w:type="dxa"/>
            <w:shd w:val="clear" w:color="auto" w:fill="FFFFFF"/>
            <w:vAlign w:val="center"/>
          </w:tcPr>
          <w:p>
            <w:pPr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>
            <w:pPr>
              <w:rPr>
                <w:lang w:val="ru-RU"/>
              </w:rPr>
            </w:pPr>
          </w:p>
        </w:tc>
        <w:tc>
          <w:tcPr>
            <w:tcW w:w="950" w:type="dxa"/>
            <w:shd w:val="clear" w:color="auto" w:fill="FFFFFF"/>
            <w:vAlign w:val="center"/>
          </w:tcPr>
          <w:p>
            <w:pPr>
              <w:rPr>
                <w:lang w:val="ru-RU"/>
              </w:rPr>
            </w:pPr>
          </w:p>
        </w:tc>
        <w:tc>
          <w:tcPr>
            <w:tcW w:w="904" w:type="dxa"/>
            <w:shd w:val="clear" w:color="auto" w:fill="FFFFFF"/>
            <w:vAlign w:val="center"/>
          </w:tcPr>
          <w:p>
            <w:pPr>
              <w:rPr>
                <w:lang w:val="ru-RU"/>
              </w:rPr>
            </w:pPr>
          </w:p>
        </w:tc>
        <w:tc>
          <w:tcPr>
            <w:tcW w:w="943" w:type="dxa"/>
            <w:shd w:val="clear" w:color="auto" w:fill="FFFFFF"/>
            <w:vAlign w:val="center"/>
          </w:tcPr>
          <w:p>
            <w:pPr>
              <w:rPr>
                <w:lang w:val="ru-RU"/>
              </w:rPr>
            </w:pPr>
          </w:p>
        </w:tc>
        <w:tc>
          <w:tcPr>
            <w:tcW w:w="997" w:type="dxa"/>
            <w:shd w:val="clear" w:color="auto" w:fill="FFFFFF"/>
            <w:vAlign w:val="center"/>
          </w:tcPr>
          <w:p>
            <w:pPr>
              <w:rPr>
                <w:lang w:val="ru-RU"/>
              </w:rPr>
            </w:pPr>
          </w:p>
        </w:tc>
        <w:tc>
          <w:tcPr>
            <w:tcW w:w="998" w:type="dxa"/>
            <w:shd w:val="clear" w:color="auto" w:fill="FFFFFF"/>
            <w:vAlign w:val="center"/>
          </w:tcPr>
          <w:p>
            <w:pPr>
              <w:rPr>
                <w:lang w:val="ru-RU"/>
              </w:rPr>
            </w:pPr>
          </w:p>
        </w:tc>
        <w:tc>
          <w:tcPr>
            <w:tcW w:w="997" w:type="dxa"/>
            <w:shd w:val="clear" w:color="auto" w:fill="FFFFFF"/>
            <w:vAlign w:val="center"/>
          </w:tcPr>
          <w:p>
            <w:pPr>
              <w:rPr>
                <w:lang w:val="ru-RU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rPr>
                <w:lang w:val="ru-RU"/>
              </w:rPr>
            </w:pPr>
          </w:p>
        </w:tc>
      </w:tr>
      <w:tr>
        <w:trPr>
          <w:trHeight w:val="1479"/>
        </w:trPr>
        <w:tc>
          <w:tcPr>
            <w:tcW w:w="1413" w:type="dxa"/>
            <w:vMerge/>
            <w:shd w:val="clear" w:color="auto" w:fill="FFFFFF"/>
          </w:tcPr>
          <w:p>
            <w:pPr>
              <w:rPr>
                <w:rFonts w:eastAsia="Calibri"/>
                <w:highlight w:val="yellow"/>
                <w:lang w:val="ru-RU"/>
              </w:rPr>
            </w:pPr>
          </w:p>
        </w:tc>
        <w:tc>
          <w:tcPr>
            <w:tcW w:w="4002" w:type="dxa"/>
            <w:shd w:val="clear" w:color="auto" w:fill="auto"/>
          </w:tcPr>
          <w:p>
            <w:pPr>
              <w:jc w:val="both"/>
              <w:rPr>
                <w:rFonts w:eastAsia="Arial Unicode MS"/>
                <w:bCs/>
                <w:i/>
                <w:lang w:val="ru-RU"/>
              </w:rPr>
            </w:pPr>
            <w:r>
              <w:rPr>
                <w:rFonts w:eastAsia="Calibri"/>
                <w:lang w:val="ru-RU"/>
              </w:rPr>
              <w:t>1.1.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t>Снижение показателя младенческой смертности (на 10000 родившихся)</w:t>
            </w:r>
          </w:p>
          <w:p>
            <w:pPr>
              <w:jc w:val="both"/>
              <w:rPr>
                <w:rFonts w:eastAsia="Arial Unicode MS"/>
                <w:bCs/>
                <w:i/>
                <w:lang w:val="ru-RU"/>
              </w:rPr>
            </w:pPr>
          </w:p>
          <w:p>
            <w:pPr>
              <w:jc w:val="both"/>
              <w:rPr>
                <w:rFonts w:eastAsia="Arial Unicode MS"/>
                <w:bCs/>
                <w:i/>
                <w:lang w:val="ru-RU"/>
              </w:rPr>
            </w:pPr>
          </w:p>
        </w:tc>
        <w:tc>
          <w:tcPr>
            <w:tcW w:w="16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основной</w:t>
            </w:r>
          </w:p>
        </w:tc>
        <w:tc>
          <w:tcPr>
            <w:tcW w:w="12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65</w:t>
            </w:r>
          </w:p>
        </w:tc>
        <w:tc>
          <w:tcPr>
            <w:tcW w:w="848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950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904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943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  <w:tc>
          <w:tcPr>
            <w:tcW w:w="997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  <w:tc>
          <w:tcPr>
            <w:tcW w:w="998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997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</w:tr>
      <w:tr>
        <w:trPr>
          <w:trHeight w:val="914"/>
        </w:trPr>
        <w:tc>
          <w:tcPr>
            <w:tcW w:w="1413" w:type="dxa"/>
            <w:vMerge/>
            <w:shd w:val="clear" w:color="auto" w:fill="FFFFFF"/>
          </w:tcPr>
          <w:p>
            <w:pPr>
              <w:rPr>
                <w:rFonts w:eastAsia="Arial Unicode MS"/>
                <w:bCs/>
                <w:i/>
                <w:lang w:val="ru-RU"/>
              </w:rPr>
            </w:pPr>
          </w:p>
        </w:tc>
        <w:tc>
          <w:tcPr>
            <w:tcW w:w="4002" w:type="dxa"/>
            <w:shd w:val="clear" w:color="auto" w:fill="FFFFFF"/>
          </w:tcPr>
          <w:p>
            <w:pPr>
              <w:jc w:val="both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1.2.</w:t>
            </w:r>
            <w:r>
              <w:rPr>
                <w:rFonts w:eastAsia="Arial Unicode MS"/>
                <w:bCs/>
                <w:lang w:val="ru-RU"/>
              </w:rPr>
              <w:tab/>
              <w:t>Снижение госпитальной летальности от инфаркта миокарда (человек)</w:t>
            </w:r>
          </w:p>
        </w:tc>
        <w:tc>
          <w:tcPr>
            <w:tcW w:w="1608" w:type="dxa"/>
            <w:shd w:val="clear" w:color="auto" w:fill="FFFFFF"/>
            <w:vAlign w:val="center"/>
          </w:tcPr>
          <w:p>
            <w:pPr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 xml:space="preserve">    основной</w:t>
            </w:r>
          </w:p>
        </w:tc>
        <w:tc>
          <w:tcPr>
            <w:tcW w:w="12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24275</w:t>
            </w:r>
          </w:p>
        </w:tc>
        <w:tc>
          <w:tcPr>
            <w:tcW w:w="848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24153</w:t>
            </w:r>
          </w:p>
        </w:tc>
        <w:tc>
          <w:tcPr>
            <w:tcW w:w="950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24092</w:t>
            </w:r>
          </w:p>
        </w:tc>
        <w:tc>
          <w:tcPr>
            <w:tcW w:w="904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24032</w:t>
            </w:r>
          </w:p>
        </w:tc>
        <w:tc>
          <w:tcPr>
            <w:tcW w:w="943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23911</w:t>
            </w:r>
          </w:p>
        </w:tc>
        <w:tc>
          <w:tcPr>
            <w:tcW w:w="997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23791</w:t>
            </w:r>
          </w:p>
        </w:tc>
        <w:tc>
          <w:tcPr>
            <w:tcW w:w="998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23672</w:t>
            </w:r>
          </w:p>
        </w:tc>
        <w:tc>
          <w:tcPr>
            <w:tcW w:w="997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23573</w:t>
            </w: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23455</w:t>
            </w:r>
          </w:p>
        </w:tc>
      </w:tr>
      <w:tr>
        <w:trPr>
          <w:trHeight w:val="914"/>
        </w:trPr>
        <w:tc>
          <w:tcPr>
            <w:tcW w:w="1413" w:type="dxa"/>
            <w:vMerge/>
            <w:shd w:val="clear" w:color="auto" w:fill="FFFFFF"/>
          </w:tcPr>
          <w:p>
            <w:pPr>
              <w:rPr>
                <w:rFonts w:eastAsia="Arial Unicode MS"/>
                <w:bCs/>
                <w:i/>
                <w:lang w:val="ru-RU"/>
              </w:rPr>
            </w:pPr>
          </w:p>
        </w:tc>
        <w:tc>
          <w:tcPr>
            <w:tcW w:w="4002" w:type="dxa"/>
            <w:shd w:val="clear" w:color="auto" w:fill="FFFFFF"/>
          </w:tcPr>
          <w:p>
            <w:pPr>
              <w:jc w:val="both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1.3. Снижение госпитальной летальности от инсульта (человек)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>
            <w:pPr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 xml:space="preserve">    основной</w:t>
            </w:r>
          </w:p>
        </w:tc>
        <w:tc>
          <w:tcPr>
            <w:tcW w:w="12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103885</w:t>
            </w:r>
          </w:p>
        </w:tc>
        <w:tc>
          <w:tcPr>
            <w:tcW w:w="848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103365</w:t>
            </w:r>
          </w:p>
        </w:tc>
        <w:tc>
          <w:tcPr>
            <w:tcW w:w="950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103105</w:t>
            </w:r>
          </w:p>
        </w:tc>
        <w:tc>
          <w:tcPr>
            <w:tcW w:w="904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102846</w:t>
            </w:r>
          </w:p>
        </w:tc>
        <w:tc>
          <w:tcPr>
            <w:tcW w:w="943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102331</w:t>
            </w:r>
          </w:p>
        </w:tc>
        <w:tc>
          <w:tcPr>
            <w:tcW w:w="997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101819</w:t>
            </w:r>
          </w:p>
        </w:tc>
        <w:tc>
          <w:tcPr>
            <w:tcW w:w="998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101309</w:t>
            </w:r>
          </w:p>
        </w:tc>
        <w:tc>
          <w:tcPr>
            <w:tcW w:w="997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100802</w:t>
            </w: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100297</w:t>
            </w:r>
          </w:p>
        </w:tc>
      </w:tr>
      <w:tr>
        <w:trPr>
          <w:trHeight w:val="1612"/>
        </w:trPr>
        <w:tc>
          <w:tcPr>
            <w:tcW w:w="1413" w:type="dxa"/>
            <w:vMerge/>
            <w:shd w:val="clear" w:color="auto" w:fill="FFFFFF"/>
          </w:tcPr>
          <w:p>
            <w:pPr>
              <w:jc w:val="both"/>
              <w:rPr>
                <w:lang w:val="ru-RU"/>
              </w:rPr>
            </w:pPr>
          </w:p>
        </w:tc>
        <w:tc>
          <w:tcPr>
            <w:tcW w:w="4002" w:type="dxa"/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</w:tcPr>
          <w:p>
            <w:pPr>
              <w:pStyle w:val="a7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1.4. Снижение количества расхождений клинического и патологоанатомического диагнозов </w:t>
            </w:r>
          </w:p>
          <w:p>
            <w:pPr>
              <w:pStyle w:val="a7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2 - 3 категории вследствие дефектов при оказании медицинской помощи, установленных по результатам экспертизы качества медицинской помощи (человек)</w:t>
            </w:r>
          </w:p>
        </w:tc>
        <w:tc>
          <w:tcPr>
            <w:tcW w:w="16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основной</w:t>
            </w:r>
          </w:p>
        </w:tc>
        <w:tc>
          <w:tcPr>
            <w:tcW w:w="12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Данные отсутствуют*</w:t>
            </w:r>
          </w:p>
        </w:tc>
        <w:tc>
          <w:tcPr>
            <w:tcW w:w="848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7" w:type="dxa"/>
            <w:shd w:val="clear" w:color="auto" w:fill="FFFFFF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>
        <w:trPr>
          <w:trHeight w:val="1612"/>
        </w:trPr>
        <w:tc>
          <w:tcPr>
            <w:tcW w:w="1413" w:type="dxa"/>
            <w:vMerge/>
            <w:shd w:val="clear" w:color="auto" w:fill="FFFFFF"/>
          </w:tcPr>
          <w:p>
            <w:pPr>
              <w:jc w:val="both"/>
              <w:rPr>
                <w:lang w:val="ru-RU"/>
              </w:rPr>
            </w:pPr>
          </w:p>
        </w:tc>
        <w:tc>
          <w:tcPr>
            <w:tcW w:w="4002" w:type="dxa"/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</w:tcPr>
          <w:p>
            <w:pPr>
              <w:pStyle w:val="a7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1.5.         Снижение смертельных случаев вследствие применения недоброкачественных и фальсифицированных лекарственных препаратов (человек)</w:t>
            </w:r>
          </w:p>
          <w:p>
            <w:pPr>
              <w:pStyle w:val="a7"/>
              <w:ind w:left="0"/>
              <w:jc w:val="both"/>
              <w:rPr>
                <w:lang w:val="ru-RU"/>
              </w:rPr>
            </w:pPr>
          </w:p>
        </w:tc>
        <w:tc>
          <w:tcPr>
            <w:tcW w:w="16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основной</w:t>
            </w:r>
          </w:p>
        </w:tc>
        <w:tc>
          <w:tcPr>
            <w:tcW w:w="12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Данные отсутствуют*</w:t>
            </w:r>
          </w:p>
        </w:tc>
        <w:tc>
          <w:tcPr>
            <w:tcW w:w="848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7" w:type="dxa"/>
            <w:shd w:val="clear" w:color="auto" w:fill="FFFFFF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>
        <w:trPr>
          <w:trHeight w:val="1476"/>
        </w:trPr>
        <w:tc>
          <w:tcPr>
            <w:tcW w:w="1413" w:type="dxa"/>
            <w:vMerge/>
            <w:shd w:val="clear" w:color="auto" w:fill="FFFFFF"/>
          </w:tcPr>
          <w:p>
            <w:pPr>
              <w:jc w:val="both"/>
              <w:rPr>
                <w:lang w:val="ru-RU"/>
              </w:rPr>
            </w:pPr>
          </w:p>
        </w:tc>
        <w:tc>
          <w:tcPr>
            <w:tcW w:w="4002" w:type="dxa"/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</w:tcPr>
          <w:p>
            <w:pPr>
              <w:pStyle w:val="a7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1.6.         Снижение смертельных случаев вследствие применения недоброкачественных и фальсифицированных медицинских изделий (человек)</w:t>
            </w:r>
          </w:p>
        </w:tc>
        <w:tc>
          <w:tcPr>
            <w:tcW w:w="16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основной</w:t>
            </w:r>
          </w:p>
        </w:tc>
        <w:tc>
          <w:tcPr>
            <w:tcW w:w="12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Данные отсутствуют*</w:t>
            </w:r>
          </w:p>
        </w:tc>
        <w:tc>
          <w:tcPr>
            <w:tcW w:w="848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7" w:type="dxa"/>
            <w:shd w:val="clear" w:color="auto" w:fill="FFFFFF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>
        <w:trPr>
          <w:trHeight w:val="1324"/>
        </w:trPr>
        <w:tc>
          <w:tcPr>
            <w:tcW w:w="1413" w:type="dxa"/>
            <w:shd w:val="clear" w:color="auto" w:fill="FFFFFF"/>
          </w:tcPr>
          <w:p>
            <w:pPr>
              <w:jc w:val="both"/>
              <w:rPr>
                <w:lang w:val="ru-RU"/>
              </w:rPr>
            </w:pPr>
          </w:p>
        </w:tc>
        <w:tc>
          <w:tcPr>
            <w:tcW w:w="4002" w:type="dxa"/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</w:tcPr>
          <w:p>
            <w:pPr>
              <w:pStyle w:val="a7"/>
              <w:ind w:left="-24" w:firstLine="24"/>
              <w:jc w:val="both"/>
              <w:rPr>
                <w:lang w:val="ru-RU"/>
              </w:rPr>
            </w:pPr>
            <w:r>
              <w:rPr>
                <w:lang w:val="ru-RU"/>
              </w:rPr>
              <w:t>1.7. Снижение числа заболеваний, отравлений  вследствие применения недоброкачественных и фальсифицированных лекарственных препаратов (человек)</w:t>
            </w:r>
          </w:p>
        </w:tc>
        <w:tc>
          <w:tcPr>
            <w:tcW w:w="16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основной</w:t>
            </w:r>
          </w:p>
        </w:tc>
        <w:tc>
          <w:tcPr>
            <w:tcW w:w="12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Данные отсутствуют*</w:t>
            </w:r>
          </w:p>
        </w:tc>
        <w:tc>
          <w:tcPr>
            <w:tcW w:w="848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7" w:type="dxa"/>
            <w:shd w:val="clear" w:color="auto" w:fill="FFFFFF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>
        <w:trPr>
          <w:trHeight w:val="1324"/>
        </w:trPr>
        <w:tc>
          <w:tcPr>
            <w:tcW w:w="1413" w:type="dxa"/>
            <w:shd w:val="clear" w:color="auto" w:fill="FFFFFF"/>
          </w:tcPr>
          <w:p>
            <w:pPr>
              <w:jc w:val="both"/>
              <w:rPr>
                <w:lang w:val="ru-RU"/>
              </w:rPr>
            </w:pPr>
          </w:p>
        </w:tc>
        <w:tc>
          <w:tcPr>
            <w:tcW w:w="4002" w:type="dxa"/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</w:tcPr>
          <w:p>
            <w:pPr>
              <w:pStyle w:val="a7"/>
              <w:ind w:left="-24" w:firstLine="24"/>
              <w:jc w:val="both"/>
              <w:rPr>
                <w:lang w:val="ru-RU"/>
              </w:rPr>
            </w:pPr>
            <w:r>
              <w:rPr>
                <w:lang w:val="ru-RU"/>
              </w:rPr>
              <w:t>1.8. Снижения числа пострадавших и травмированных вследствие применения недоброкачественных и фальсифицированных медицинских изделий (человек)</w:t>
            </w:r>
          </w:p>
        </w:tc>
        <w:tc>
          <w:tcPr>
            <w:tcW w:w="16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основной</w:t>
            </w:r>
          </w:p>
        </w:tc>
        <w:tc>
          <w:tcPr>
            <w:tcW w:w="12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Данные отсутствуют*</w:t>
            </w:r>
          </w:p>
        </w:tc>
        <w:tc>
          <w:tcPr>
            <w:tcW w:w="848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7" w:type="dxa"/>
            <w:shd w:val="clear" w:color="auto" w:fill="FFFFFF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>
        <w:trPr>
          <w:trHeight w:val="1324"/>
        </w:trPr>
        <w:tc>
          <w:tcPr>
            <w:tcW w:w="1413" w:type="dxa"/>
            <w:shd w:val="clear" w:color="auto" w:fill="FFFFFF"/>
          </w:tcPr>
          <w:p>
            <w:pPr>
              <w:jc w:val="both"/>
              <w:rPr>
                <w:lang w:val="ru-RU"/>
              </w:rPr>
            </w:pPr>
          </w:p>
        </w:tc>
        <w:tc>
          <w:tcPr>
            <w:tcW w:w="4002" w:type="dxa"/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</w:tcPr>
          <w:p>
            <w:pPr>
              <w:pStyle w:val="a7"/>
              <w:ind w:left="-24" w:firstLine="24"/>
              <w:jc w:val="both"/>
              <w:rPr>
                <w:lang w:val="ru-RU"/>
              </w:rPr>
            </w:pPr>
            <w:r>
              <w:rPr>
                <w:lang w:val="ru-RU"/>
              </w:rPr>
              <w:t>2. Доля подконтрольных объектов, при осуществлении контроля (надзора) которых используются проверочные листы, содержащие перечень обязательных требований</w:t>
            </w:r>
          </w:p>
        </w:tc>
        <w:tc>
          <w:tcPr>
            <w:tcW w:w="16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аналитический</w:t>
            </w:r>
          </w:p>
        </w:tc>
        <w:tc>
          <w:tcPr>
            <w:tcW w:w="12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0</w:t>
            </w:r>
          </w:p>
        </w:tc>
        <w:tc>
          <w:tcPr>
            <w:tcW w:w="848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60%</w:t>
            </w:r>
          </w:p>
        </w:tc>
        <w:tc>
          <w:tcPr>
            <w:tcW w:w="950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100%</w:t>
            </w:r>
          </w:p>
        </w:tc>
        <w:tc>
          <w:tcPr>
            <w:tcW w:w="904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100%</w:t>
            </w:r>
          </w:p>
        </w:tc>
        <w:tc>
          <w:tcPr>
            <w:tcW w:w="943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100%</w:t>
            </w: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100%</w:t>
            </w:r>
          </w:p>
        </w:tc>
        <w:tc>
          <w:tcPr>
            <w:tcW w:w="998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100%</w:t>
            </w:r>
          </w:p>
        </w:tc>
        <w:tc>
          <w:tcPr>
            <w:tcW w:w="997" w:type="dxa"/>
            <w:shd w:val="clear" w:color="auto" w:fill="FFFFFF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100%</w:t>
            </w: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100%</w:t>
            </w:r>
          </w:p>
        </w:tc>
      </w:tr>
      <w:tr>
        <w:trPr>
          <w:trHeight w:val="600"/>
        </w:trPr>
        <w:tc>
          <w:tcPr>
            <w:tcW w:w="1413" w:type="dxa"/>
            <w:vMerge w:val="restart"/>
            <w:shd w:val="clear" w:color="auto" w:fill="FFFFFF"/>
          </w:tcPr>
          <w:p>
            <w:pPr>
              <w:ind w:left="368"/>
              <w:jc w:val="both"/>
              <w:rPr>
                <w:lang w:val="ru-RU"/>
              </w:rPr>
            </w:pPr>
          </w:p>
        </w:tc>
        <w:tc>
          <w:tcPr>
            <w:tcW w:w="4002" w:type="dxa"/>
            <w:vMerge w:val="restart"/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vAlign w:val="center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3. Снижение административной нагрузки на организации и граждан, осуществляющих предпринимательскую деятельность**</w:t>
            </w:r>
          </w:p>
        </w:tc>
        <w:tc>
          <w:tcPr>
            <w:tcW w:w="1608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аналитический</w:t>
            </w:r>
          </w:p>
        </w:tc>
        <w:tc>
          <w:tcPr>
            <w:tcW w:w="12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7" w:type="dxa"/>
            <w:shd w:val="clear" w:color="auto" w:fill="FFFFFF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>
        <w:trPr>
          <w:trHeight w:val="1030"/>
        </w:trPr>
        <w:tc>
          <w:tcPr>
            <w:tcW w:w="1413" w:type="dxa"/>
            <w:vMerge/>
            <w:shd w:val="clear" w:color="auto" w:fill="FFFFFF"/>
          </w:tcPr>
          <w:p>
            <w:pPr>
              <w:ind w:left="368"/>
              <w:jc w:val="both"/>
              <w:rPr>
                <w:lang w:val="ru-RU"/>
              </w:rPr>
            </w:pPr>
          </w:p>
        </w:tc>
        <w:tc>
          <w:tcPr>
            <w:tcW w:w="4002" w:type="dxa"/>
            <w:vMerge/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vAlign w:val="center"/>
          </w:tcPr>
          <w:p>
            <w:pPr>
              <w:jc w:val="both"/>
              <w:rPr>
                <w:lang w:val="ru-RU"/>
              </w:rPr>
            </w:pPr>
          </w:p>
        </w:tc>
        <w:tc>
          <w:tcPr>
            <w:tcW w:w="1608" w:type="dxa"/>
            <w:vMerge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12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7" w:type="dxa"/>
            <w:shd w:val="clear" w:color="auto" w:fill="FFFFFF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>
        <w:trPr>
          <w:trHeight w:val="639"/>
        </w:trPr>
        <w:tc>
          <w:tcPr>
            <w:tcW w:w="1413" w:type="dxa"/>
            <w:shd w:val="clear" w:color="auto" w:fill="FFFFFF"/>
          </w:tcPr>
          <w:p>
            <w:pPr>
              <w:ind w:left="368"/>
              <w:jc w:val="both"/>
              <w:rPr>
                <w:lang w:val="ru-RU"/>
              </w:rPr>
            </w:pPr>
          </w:p>
        </w:tc>
        <w:tc>
          <w:tcPr>
            <w:tcW w:w="4002" w:type="dxa"/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vAlign w:val="center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4.   Рост индекса качества администрирования контрольно-надзорных функций***</w:t>
            </w:r>
          </w:p>
        </w:tc>
        <w:tc>
          <w:tcPr>
            <w:tcW w:w="16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аналитический</w:t>
            </w:r>
          </w:p>
        </w:tc>
        <w:tc>
          <w:tcPr>
            <w:tcW w:w="12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997" w:type="dxa"/>
            <w:shd w:val="clear" w:color="auto" w:fill="FFFFFF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</w:p>
          <w:p>
            <w:pPr>
              <w:jc w:val="center"/>
              <w:rPr>
                <w:sz w:val="22"/>
                <w:szCs w:val="22"/>
                <w:lang w:val="ru-RU"/>
              </w:rPr>
            </w:pPr>
          </w:p>
          <w:p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>
        <w:trPr>
          <w:trHeight w:val="639"/>
        </w:trPr>
        <w:tc>
          <w:tcPr>
            <w:tcW w:w="1413" w:type="dxa"/>
            <w:shd w:val="clear" w:color="auto" w:fill="FFFFFF"/>
          </w:tcPr>
          <w:p>
            <w:pPr>
              <w:ind w:left="368"/>
              <w:jc w:val="both"/>
              <w:rPr>
                <w:lang w:val="ru-RU"/>
              </w:rPr>
            </w:pPr>
          </w:p>
        </w:tc>
        <w:tc>
          <w:tcPr>
            <w:tcW w:w="4002" w:type="dxa"/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vAlign w:val="center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5.</w:t>
            </w:r>
            <w:r>
              <w:t xml:space="preserve"> </w:t>
            </w:r>
            <w:r>
              <w:rPr>
                <w:lang w:val="ru-RU"/>
              </w:rPr>
              <w:t>Доля минимизированных коррупционных рисков</w:t>
            </w:r>
          </w:p>
        </w:tc>
        <w:tc>
          <w:tcPr>
            <w:tcW w:w="16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аналитический</w:t>
            </w:r>
          </w:p>
        </w:tc>
        <w:tc>
          <w:tcPr>
            <w:tcW w:w="1208" w:type="dxa"/>
            <w:shd w:val="clear" w:color="auto" w:fill="FFFFFF"/>
            <w:vAlign w:val="center"/>
          </w:tcPr>
          <w:p>
            <w:pPr>
              <w:jc w:val="center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0</w:t>
            </w:r>
          </w:p>
        </w:tc>
        <w:tc>
          <w:tcPr>
            <w:tcW w:w="848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10%</w:t>
            </w:r>
          </w:p>
        </w:tc>
        <w:tc>
          <w:tcPr>
            <w:tcW w:w="950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35%</w:t>
            </w:r>
          </w:p>
        </w:tc>
        <w:tc>
          <w:tcPr>
            <w:tcW w:w="904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45%</w:t>
            </w:r>
          </w:p>
        </w:tc>
        <w:tc>
          <w:tcPr>
            <w:tcW w:w="943" w:type="dxa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55%</w:t>
            </w:r>
          </w:p>
        </w:tc>
        <w:tc>
          <w:tcPr>
            <w:tcW w:w="413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90%</w:t>
            </w:r>
          </w:p>
        </w:tc>
      </w:tr>
    </w:tbl>
    <w:p>
      <w:pPr>
        <w:ind w:firstLine="709"/>
        <w:jc w:val="both"/>
        <w:rPr>
          <w:rFonts w:eastAsia="Arial Unicode MS"/>
          <w:bCs/>
          <w:lang w:val="ru-RU"/>
        </w:rPr>
      </w:pPr>
      <w:r>
        <w:rPr>
          <w:rFonts w:eastAsia="Arial Unicode MS"/>
          <w:bCs/>
          <w:lang w:val="ru-RU"/>
        </w:rPr>
        <w:t>* Показатель будет  рассчитывается на основании форм государственного статистического наблюдения. Срок разработки формы государственного статистического  наблюдения (Росстат): 1.08.2017 г.</w:t>
      </w:r>
    </w:p>
    <w:p>
      <w:pPr>
        <w:ind w:firstLine="709"/>
        <w:jc w:val="both"/>
        <w:rPr>
          <w:lang w:val="ru-RU"/>
        </w:rPr>
      </w:pPr>
      <w:r>
        <w:rPr>
          <w:rFonts w:eastAsia="Arial Unicode MS"/>
          <w:bCs/>
          <w:lang w:val="ru-RU"/>
        </w:rPr>
        <w:t>**</w:t>
      </w:r>
      <w:r>
        <w:rPr>
          <w:lang w:val="ru-RU"/>
        </w:rPr>
        <w:t>Показатель рассчитывается на основании разработанной и апробированной методики оценки административной нагрузки на организации и граждан, осуществляющих предпринимательскую деятельность. Срок разработки методики: 1.07.2017 г.</w:t>
      </w:r>
    </w:p>
    <w:p>
      <w:pPr>
        <w:ind w:firstLine="720"/>
        <w:rPr>
          <w:lang w:val="ru-RU"/>
        </w:rPr>
      </w:pPr>
      <w:r>
        <w:rPr>
          <w:lang w:val="ru-RU"/>
        </w:rPr>
        <w:t>*** Показатель рассчитывается на основании разработанной и апробированной методики формирования индекса качества администрирования контрольно-надзорных функций. Срок разработки методики: 1.07.2017 г. Предполагаемая динамика – в 2 раза.</w:t>
      </w:r>
    </w:p>
    <w:p>
      <w:pPr>
        <w:rPr>
          <w:lang w:val="ru-RU"/>
        </w:rPr>
      </w:pPr>
    </w:p>
    <w:tbl>
      <w:tblPr>
        <w:tblpPr w:leftFromText="180" w:rightFromText="180" w:vertAnchor="text" w:tblpX="-2" w:tblpY="1"/>
        <w:tblOverlap w:val="never"/>
        <w:tblW w:w="15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44"/>
        <w:gridCol w:w="12348"/>
      </w:tblGrid>
      <w:tr>
        <w:trPr>
          <w:trHeight w:val="1764"/>
        </w:trPr>
        <w:tc>
          <w:tcPr>
            <w:tcW w:w="3444" w:type="dxa"/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vAlign w:val="center"/>
            <w:hideMark/>
          </w:tcPr>
          <w:p>
            <w:pPr>
              <w:jc w:val="center"/>
              <w:rPr>
                <w:rFonts w:eastAsia="Arial Unicode MS"/>
                <w:b/>
                <w:sz w:val="26"/>
                <w:szCs w:val="26"/>
                <w:lang w:val="ru-RU"/>
              </w:rPr>
            </w:pPr>
            <w:r>
              <w:rPr>
                <w:rFonts w:eastAsia="Arial Unicode MS"/>
                <w:b/>
                <w:sz w:val="26"/>
                <w:szCs w:val="26"/>
                <w:lang w:val="ru-RU"/>
              </w:rPr>
              <w:t>Результаты проекта</w:t>
            </w:r>
          </w:p>
        </w:tc>
        <w:tc>
          <w:tcPr>
            <w:tcW w:w="12348" w:type="dxa"/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vAlign w:val="center"/>
          </w:tcPr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Росздравнадзором в результате реформы контрольной и надзорной деятельности реализованы решения, обеспечивающие цели приоритетной программы: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b/>
                <w:sz w:val="26"/>
                <w:szCs w:val="26"/>
                <w:lang w:val="ru-RU"/>
              </w:rPr>
              <w:t>1.</w:t>
            </w:r>
            <w:r>
              <w:rPr>
                <w:rFonts w:eastAsia="Calibri"/>
                <w:b/>
                <w:sz w:val="26"/>
                <w:szCs w:val="26"/>
                <w:lang w:val="ru-RU"/>
              </w:rPr>
              <w:tab/>
              <w:t>Внедрение риск-ориентированного подхода при осуществлении контрольно-надзорной деятельности Росздравнадзора</w:t>
            </w:r>
            <w:r>
              <w:rPr>
                <w:rFonts w:eastAsia="Calibri"/>
                <w:sz w:val="26"/>
                <w:szCs w:val="26"/>
                <w:lang w:val="ru-RU"/>
              </w:rPr>
              <w:t>:</w:t>
            </w: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Этап </w:t>
            </w:r>
            <w:r>
              <w:rPr>
                <w:rFonts w:eastAsia="Calibri"/>
                <w:i/>
                <w:sz w:val="26"/>
                <w:szCs w:val="26"/>
              </w:rPr>
              <w:t>I</w:t>
            </w: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 до конца 2017 года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сформированы исчерпывающие реестры подконтрольных объектов, лицензиатов с использованием Автоматизированной информационной системы Росздравнадзора (АИС Росздравнадзора):</w:t>
            </w:r>
          </w:p>
          <w:p>
            <w:pPr>
              <w:pStyle w:val="a7"/>
              <w:numPr>
                <w:ilvl w:val="1"/>
                <w:numId w:val="29"/>
              </w:num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организации, осуществляющие медицинскую деятельность;</w:t>
            </w:r>
          </w:p>
          <w:p>
            <w:pPr>
              <w:pStyle w:val="a7"/>
              <w:numPr>
                <w:ilvl w:val="1"/>
                <w:numId w:val="29"/>
              </w:numPr>
              <w:ind w:left="0" w:firstLine="109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 организации, осуществляющие оптовую торговлю лекарственными средствами; розничную торговлю лекарственными препаратами, производство лекарственных средств, </w:t>
            </w:r>
            <w:r>
              <w:rPr>
                <w:sz w:val="26"/>
                <w:szCs w:val="26"/>
                <w:lang w:val="ru-RU"/>
              </w:rPr>
              <w:t>оборот наркотических средств, психотропных веществ и их прекурсоров и культивирование наркосодержащих растений</w:t>
            </w:r>
          </w:p>
          <w:p>
            <w:pPr>
              <w:pStyle w:val="a7"/>
              <w:numPr>
                <w:ilvl w:val="1"/>
                <w:numId w:val="29"/>
              </w:numPr>
              <w:ind w:left="0" w:firstLine="1080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организации, осуществляющие производство, техническое обслуживание, оборот медицинских изделий;</w:t>
            </w:r>
          </w:p>
          <w:p>
            <w:pPr>
              <w:ind w:left="253" w:hanging="253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установлены категории риска и критерии отнесения к ним подконтрольных объектов с использованием АИС Росздравнадзора по видам контроля;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 – распределены в полном объеме подконтрольные объекты, осуществляющие деятельность в сфере здравоохранения, по категориям риска с использованием информационной системы:</w:t>
            </w:r>
          </w:p>
          <w:p>
            <w:pPr>
              <w:pStyle w:val="a7"/>
              <w:numPr>
                <w:ilvl w:val="1"/>
                <w:numId w:val="29"/>
              </w:num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организации, осуществляющие медицинскую деятельность;</w:t>
            </w:r>
          </w:p>
          <w:p>
            <w:pPr>
              <w:pStyle w:val="a7"/>
              <w:numPr>
                <w:ilvl w:val="1"/>
                <w:numId w:val="29"/>
              </w:numPr>
              <w:ind w:left="0" w:firstLine="109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 организации, осуществляющие оптовую торговлю лекарственными средствами; розничную торговлю лекарственными препаратами, производство лекарственных средств, </w:t>
            </w:r>
            <w:r>
              <w:rPr>
                <w:sz w:val="26"/>
                <w:szCs w:val="26"/>
                <w:lang w:val="ru-RU"/>
              </w:rPr>
              <w:t xml:space="preserve">оборот наркотических </w:t>
            </w:r>
            <w:r>
              <w:rPr>
                <w:sz w:val="26"/>
                <w:szCs w:val="26"/>
                <w:lang w:val="ru-RU"/>
              </w:rPr>
              <w:lastRenderedPageBreak/>
              <w:t>средств, психотропных веществ и их прекурсоров и культивирование наркосодержащих растений</w:t>
            </w:r>
          </w:p>
          <w:p>
            <w:pPr>
              <w:pStyle w:val="a7"/>
              <w:numPr>
                <w:ilvl w:val="1"/>
                <w:numId w:val="29"/>
              </w:numPr>
              <w:ind w:left="0" w:firstLine="1080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организации, осуществляющие производство, техническое обслуживание, оборот медицинских изделий;</w:t>
            </w:r>
          </w:p>
          <w:p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rFonts w:eastAsia="Calibri"/>
                <w:b/>
                <w:sz w:val="26"/>
                <w:szCs w:val="26"/>
                <w:lang w:val="ru-RU"/>
              </w:rPr>
              <w:t xml:space="preserve">– </w:t>
            </w:r>
            <w:r>
              <w:rPr>
                <w:rFonts w:eastAsia="Calibri"/>
                <w:sz w:val="26"/>
                <w:szCs w:val="26"/>
                <w:lang w:val="ru-RU"/>
              </w:rPr>
              <w:t xml:space="preserve">утверждены методические рекомендации </w:t>
            </w:r>
            <w:r>
              <w:rPr>
                <w:sz w:val="26"/>
                <w:szCs w:val="26"/>
                <w:lang w:val="ru-RU"/>
              </w:rPr>
              <w:t>по классификации подконтрольных объектов, осуществляющих деятельность в сфере здравоохранения, по категориям риска причинения вреда жизни и здоровью граждан для организации плановых контрольных мероприятий</w:t>
            </w:r>
            <w:r>
              <w:rPr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 xml:space="preserve">по видам контроля; </w:t>
            </w:r>
          </w:p>
          <w:p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- обеспечена доступность и понятность информации для подконтрольных объектов, осуществляющих деятельность в сфере здравоохранения, об присвоенных им категориям риска и критерия отнесения к ним </w:t>
            </w:r>
            <w:r>
              <w:rPr>
                <w:rFonts w:eastAsia="Calibri"/>
                <w:sz w:val="26"/>
                <w:szCs w:val="26"/>
                <w:lang w:val="ru-RU"/>
              </w:rPr>
              <w:t>с использованием АИС Росздравнадзора и официального сайта Росздравнадзора</w:t>
            </w:r>
            <w:r>
              <w:rPr>
                <w:sz w:val="26"/>
                <w:szCs w:val="26"/>
                <w:lang w:val="ru-RU"/>
              </w:rPr>
              <w:t>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формирование ежегодного плана проверок юридических лиц и индивидуальных предпринимателей, осуществляющих деятельность в сфере здравоохранения, на 2018 год на основании риск-ориентированного подхода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по видам контроля;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- сформирована система сбора объективных 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по видам контроля, позволяющая учитывать при определении категории риска причиненный вред и характеристики поведения подконтрольных субъектов, определены индикаторы риска и показатели для внедрения «динамической модели» с использованием АИС Росздравнадзора.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Этап </w:t>
            </w:r>
            <w:r>
              <w:rPr>
                <w:rFonts w:eastAsia="Calibri"/>
                <w:i/>
                <w:sz w:val="26"/>
                <w:szCs w:val="26"/>
              </w:rPr>
              <w:t>II</w:t>
            </w: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 с 2018 года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разработана и внедрена «динамическая модель» управления категориями риска с использованием АИС Росздравнадзора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по видам контроля;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утверждены индикаторы рисков для внеплановых проверок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по видам контроля;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- внедрена система регулярной переоценки рисков 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по видам контроля в зависимости от фактического распределения ущерба по категориям риска, в том числе с использованием технологий работы с массивами больших данных (</w:t>
            </w:r>
            <w:r>
              <w:rPr>
                <w:rFonts w:eastAsia="Calibri"/>
                <w:sz w:val="26"/>
                <w:szCs w:val="26"/>
              </w:rPr>
              <w:t>Big</w:t>
            </w:r>
            <w:r>
              <w:rPr>
                <w:rFonts w:eastAsia="Calibri"/>
                <w:sz w:val="26"/>
                <w:szCs w:val="26"/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Data</w:t>
            </w:r>
            <w:r>
              <w:rPr>
                <w:rFonts w:eastAsia="Calibri"/>
                <w:sz w:val="26"/>
                <w:szCs w:val="26"/>
                <w:lang w:val="ru-RU"/>
              </w:rPr>
              <w:t>), с учетом рекомендаций ОЭСР с использованием АИС Росздравнадзора.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Этап </w:t>
            </w:r>
            <w:r>
              <w:rPr>
                <w:i/>
              </w:rPr>
              <w:t>III</w:t>
            </w: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 (2019-2025 годы):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внедрены межведомственные карты рисков с использованием АИС Росздравнадзора и проводятся международные сопоставления эффективности систем управления рисками.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b/>
                <w:sz w:val="26"/>
                <w:szCs w:val="26"/>
                <w:lang w:val="ru-RU"/>
              </w:rPr>
              <w:t>2. Разработка и внедрение системы оценки результативности и эффективности контрольно-надзорной деятельности</w:t>
            </w:r>
            <w:r>
              <w:rPr>
                <w:rFonts w:eastAsia="Calibri"/>
                <w:sz w:val="26"/>
                <w:szCs w:val="26"/>
                <w:lang w:val="ru-RU"/>
              </w:rPr>
              <w:t>:</w:t>
            </w: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Этап </w:t>
            </w:r>
            <w:r>
              <w:rPr>
                <w:rFonts w:eastAsia="Calibri"/>
                <w:i/>
                <w:sz w:val="26"/>
                <w:szCs w:val="26"/>
              </w:rPr>
              <w:t>I</w:t>
            </w: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 до конца 2017 года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– разработаны и внедрены перечни и значения показателей результативности и эффективности по </w:t>
            </w:r>
            <w:r>
              <w:rPr>
                <w:rFonts w:eastAsia="Calibri"/>
                <w:sz w:val="26"/>
                <w:szCs w:val="26"/>
                <w:lang w:val="ru-RU"/>
              </w:rPr>
              <w:lastRenderedPageBreak/>
              <w:t>государственному контролю качества и безопасности медицинской деятельности; федеральному государственному надзору в сфере обращения лекарственных средств; государственному контролю за обращением медицинских изделий, в том числе сопряженные виды лицензионного контроля: лицензионный контроль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"Сколково"); лицензионный контроль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техники; лицензионный контроль фармацевтической деятельности; лицензионный контроль оборота наркотических средств, психотропных веществ и их прекурсоров, культивированию наркосодержащих растений, утвержденные приказом Росздравнадзора;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определены механизмы контроля за достижением утвержденных показателей результативности и эффективности контроля</w:t>
            </w:r>
            <w:r>
              <w:rPr>
                <w:lang w:val="ru-RU"/>
              </w:rPr>
              <w:t xml:space="preserve">  </w:t>
            </w:r>
            <w:r>
              <w:rPr>
                <w:rFonts w:eastAsia="Calibri"/>
                <w:sz w:val="26"/>
                <w:szCs w:val="26"/>
                <w:lang w:val="ru-RU"/>
              </w:rPr>
              <w:t>по государственному контролю качества и безопасности медицинской деятельности; федеральному государственному надзору в сфере обращения лекарственных средств; государственному контролю за обращением медицинских изделий, в том числе сопряженные виды лицензионного контроля: лицензионный контроль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"Сколково"); лицензионный контроль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техники; лицензионный контроль фармацевтической деятельности; лицензионный контроль оборота наркотических средств, психотропных веществ и их прекурсоров, культивированию наркосодержащих растений с использованием АИС Росздравнадзора;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разработаны и утверждены показатели результативности и эффективности контроля</w:t>
            </w:r>
            <w:r>
              <w:rPr>
                <w:lang w:val="ru-RU"/>
              </w:rPr>
              <w:t xml:space="preserve">  </w:t>
            </w:r>
            <w:r>
              <w:rPr>
                <w:rFonts w:eastAsia="Calibri"/>
                <w:sz w:val="26"/>
                <w:szCs w:val="26"/>
                <w:lang w:val="ru-RU"/>
              </w:rPr>
              <w:t>по видам контроля в сфере здравоохранения для центрального аппарата и территориальных органов Росздравнадзора;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обеспечена публичность и доступность показателей результативности и эффективности контроля</w:t>
            </w:r>
            <w:r>
              <w:rPr>
                <w:lang w:val="ru-RU"/>
              </w:rPr>
              <w:t xml:space="preserve">  </w:t>
            </w:r>
            <w:r>
              <w:rPr>
                <w:rFonts w:eastAsia="Calibri"/>
                <w:sz w:val="26"/>
                <w:szCs w:val="26"/>
                <w:lang w:val="ru-RU"/>
              </w:rPr>
              <w:t xml:space="preserve">по государственному контролю качества и безопасности медицинской деятельности; федеральному государственному надзору в сфере обращения лекарственных средств; государственному контролю за обращением медицинских изделий, в том числе сопряженные виды лицензионного контроля: лицензионный контроль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"Сколково"); лицензионный контроль деятельности по производству и техническому обслуживанию (за исключением случая, если техническое обслуживание осуществляется для </w:t>
            </w:r>
            <w:r>
              <w:rPr>
                <w:rFonts w:eastAsia="Calibri"/>
                <w:sz w:val="26"/>
                <w:szCs w:val="26"/>
                <w:lang w:val="ru-RU"/>
              </w:rPr>
              <w:lastRenderedPageBreak/>
              <w:t>обеспечения собственных нужд юридического лица или индивидуального предпринимателя) медицинской техники; лицензионный контроль фармацевтической деятельности; лицензионный контроль оборота наркотических средств, психотропных веществ и их прекурсоров, культивированию наркосодержащих растений с использованием АИС Росздравнадзора и официального сайта Росздравнадзора;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проведена проверка достоверности, полноты и точности расчета показателей результативности и эффективности контроля</w:t>
            </w:r>
            <w:r>
              <w:rPr>
                <w:lang w:val="ru-RU"/>
              </w:rPr>
              <w:t xml:space="preserve">  </w:t>
            </w:r>
            <w:r>
              <w:rPr>
                <w:rFonts w:eastAsia="Calibri"/>
                <w:sz w:val="26"/>
                <w:szCs w:val="26"/>
                <w:lang w:val="ru-RU"/>
              </w:rPr>
              <w:t>по государственному контролю качества и безопасности медицинской деятельности; федеральному государственному надзору в сфере обращения лекарственных средств; государственному контролю за обращением медицинских изделий, в том числе сопряженные виды лицензионного контроля: лицензионный контроль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"Сколково"); лицензионный контроль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техники; лицензионный контроль фармацевтической деятельности; лицензионный контроль оборота наркотических средств, психотропных веществ и их прекурсоров, культивированию наркосодержащих растений, уточнены формулы их расчета и первоисточники.</w:t>
            </w: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Этап </w:t>
            </w:r>
            <w:r>
              <w:rPr>
                <w:rFonts w:eastAsia="Calibri"/>
                <w:i/>
                <w:sz w:val="26"/>
                <w:szCs w:val="26"/>
              </w:rPr>
              <w:t>II</w:t>
            </w: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 с 2018 года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внедрен автоматизированный механизм сбора и проверки достоверности, полноты и точности расчета первичных данных, верификация источников при расчете фактических показателей результативности и эффективности контрольно-надзорной деятельности по государственному контролю качества и безопасности медицинской деятельности; федеральному государственному надзору в сфере обращения лекарственных средств; государственному контролю за обращением медицинских изделий, в том числе сопряженные виды лицензионного контроля: лицензионный контроль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"Сколково"); лицензионный контроль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техники; лицензионный контроль фармацевтической деятельности; лицензионный контроль оборота наркотических средств, психотропных веществ и их прекурсоров, культивированию наркосодержащих растений с использованием АИС Росздравнадзора;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обеспечен автоматизированный анализ результативности и эффективности контроля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 xml:space="preserve">по государственному </w:t>
            </w:r>
            <w:r>
              <w:rPr>
                <w:rFonts w:eastAsia="Calibri"/>
                <w:sz w:val="26"/>
                <w:szCs w:val="26"/>
                <w:lang w:val="ru-RU"/>
              </w:rPr>
              <w:lastRenderedPageBreak/>
              <w:t>контролю качества и безопасности медицинской деятельности; федеральному государственному надзору в сфере обращения лекарственных средств; государственному контролю за обращением медицинских изделий, в том числе сопряженные виды лицензионного контроля: лицензионный контроль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"Сколково"); лицензионный контроль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техники; лицензионный контроль фармацевтической деятельности; лицензионный контроль оборота наркотических средств, психотропных веществ и их прекурсоров, культивированию наркосодержащих растений с использованием АИС Росздравнадзора;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позволит в случае не достижения отдельных показателей результативности и эффективности контроля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по государственному контролю качества и безопасности медицинской деятельности; федеральному государственному надзору в сфере обращения лекарственных средств; государственному контролю за обращением медицинских изделий, в том числе сопряженные виды лицензионного контроля: лицензионный контроль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"Сколково"); лицензионный контроль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техники; лицензионный контроль фармацевтической деятельности; лицензионный контроль оборота наркотических средств, психотропных веществ и их прекурсоров, культивированию наркосодержащих растений, принимать управленческие решения, в том числе оптимизации и совершенствования системы управления, системы мотивации сотрудников территориальных органов и центрального аппарата, распределения ресурсов, планирования и проведения контрольно-надзорных мероприятий.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>Этап III с 2019 по 2025 годы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>-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введено регулярное принятие управленческих решений, в том числе по вопросу оптимизации и совершенствования системы управления, системы мотивации сотрудников территориальных органов и центрального аппарата, распределения ресурсов, планирования и проведения контрольно-надзорных мероприятий;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– внедрены принципы «умного регулирования», в том числе выбора форм, инструментов и интенсивности государственного регулирования и государственного контроля (надзора), исходя из соотношения </w:t>
            </w:r>
            <w:r>
              <w:rPr>
                <w:rFonts w:eastAsia="Calibri"/>
                <w:sz w:val="26"/>
                <w:szCs w:val="26"/>
                <w:lang w:val="ru-RU"/>
              </w:rPr>
              <w:lastRenderedPageBreak/>
              <w:t>количественно просчитываемых выгод и затрат регулирования, пропорциональности и риск-ориентированности;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внедрен механизм управления изменениями результативностью и эффективностью, их использование в процессе стратегического планирования, проводится международное сопоставление показателей по отдельным видам контроля.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b/>
                <w:sz w:val="26"/>
                <w:szCs w:val="26"/>
                <w:lang w:val="ru-RU"/>
              </w:rPr>
              <w:t>3. Систематизация, сокращение количества и актуализация обязательных требований по контролируемым видам деятельности в сфере здравоохранения</w:t>
            </w:r>
            <w:r>
              <w:rPr>
                <w:rFonts w:eastAsia="Calibri"/>
                <w:sz w:val="26"/>
                <w:szCs w:val="26"/>
                <w:lang w:val="ru-RU"/>
              </w:rPr>
              <w:t>: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>Этап I до конца 2017 года</w:t>
            </w:r>
            <w:r>
              <w:rPr>
                <w:rFonts w:eastAsia="Calibri"/>
                <w:sz w:val="26"/>
                <w:szCs w:val="26"/>
                <w:lang w:val="ru-RU"/>
              </w:rPr>
              <w:t xml:space="preserve"> 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утверждение исчерпывающих перечней нормативных правовых актов, устанавливающих обязательные требования, соблюдение которых оценивается при проведении мероприятий по контролю (надзору)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юридических лиц и индивидуальных предпринимателей, осуществляющих деятельность в сфере здравоохранения (медицинская деятельность, оборот лекарственных препаратов, оборот медицинских изделий);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</w:t>
            </w:r>
            <w:r>
              <w:rPr>
                <w:lang w:val="ru-RU"/>
              </w:rPr>
              <w:t xml:space="preserve">  </w:t>
            </w:r>
            <w:r>
              <w:rPr>
                <w:rFonts w:eastAsia="Calibri"/>
                <w:sz w:val="26"/>
                <w:szCs w:val="26"/>
                <w:lang w:val="ru-RU"/>
              </w:rPr>
              <w:t>принятие  нормативных правовых актов, определяющих систематизированные по видам предпринимательской деятельности, осуществляемым в уведомительном порядке, перечни нормативных правовых актов, определяющих обязательные требования, и их размещение на сайте Росздравнадзора;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размещение на официальном сайте в информационно-телекоммуникационной сети "Интернет" исчерпывающих перечней нормативных правовых актов, устанавливающих обязательные требования, соблюдение которых оценивается при проведении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государственного контроля качества и безопасности медицинской деятельности, федерального государственного надзора в сфере обращения лекарственных средств, государственного контроля за обращением медицинских изделий;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 - обеспечены: участие в экспертных рабочих группах по совершенствованию контрольно-надзорной деятельности по видам контроля и по видам предпринимательской деятельности, подготовка дорожных карт по актуализации нормативных правовых актов, содержащих обязательные требования, которые указанными рабочими группами признаны требующие актуализации, а также принятие нормативных правовых актов, актуализирующие обязательные требование в соответствии с установленными дорожными картами и  приоритетным проектом «Систематизация, сокращение количества и актуализация обязательных требований» сроками- 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обеспечено внесение изменений в положения о видах контроля (надзора), предусматривающих обязательность применения проверочных листов при осуществлении контрольно-надзорных мероприятий по всем видам контроля (надзора);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– утверждены проверочные листы по государственному контролю качества и безопасности медицинской </w:t>
            </w:r>
            <w:r>
              <w:rPr>
                <w:rFonts w:eastAsia="Calibri"/>
                <w:sz w:val="26"/>
                <w:szCs w:val="26"/>
                <w:lang w:val="ru-RU"/>
              </w:rPr>
              <w:lastRenderedPageBreak/>
              <w:t>деятельности, федеральному государственному надзору в сфере обращения лекарственных средств, государственному контролю за обращением медицинских изделий и сопряженным видам лицензионного контроля, содержащих перечень обязательных требований;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внедрены проверочные листы при проведении контроля качества и безопасности медицинской деятельности, федерального государственного надзора за обращением лекарственных средств, государственного контроля за обращением медицинских изделий, сопряженным видам лицензионного контроля в отношении не менее 60% подконтрольных субъектов;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- 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обеспечено принятие правовых актов, определяющих порядок систематической оценки эффективности обязательных требований с учетом установленных общих требований и реализуется соответствующий механизм;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- 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приняты меры по оптимизации обязательных требований (включая отмену неэффективных и избыточных обязательных требований), а также по актуализации соответствующих нормативных правовых актов Российской Федерации, регламентирующие обязательные требования в сфере здравоохранения, в том числе в целях использования в АИС Росздравнадзора;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по федеральному государственному надзору за обращением лекарственных средств, государственному контролю за обращением медицинских изделий реализован механизм самостоятельной оценки подконтрольным субъектом соблюдения предъявляемых к нему обязательных требований с использованием "Личного кабинета";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- участие 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специалистов Росздравнадзора в экспертных рабочих группах по совершенствованию контрольно-надзорной деятельности по видам контроля и по видам предпринимательской деятельности.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Этап </w:t>
            </w:r>
            <w:r>
              <w:rPr>
                <w:rFonts w:eastAsia="Calibri"/>
                <w:i/>
                <w:sz w:val="26"/>
                <w:szCs w:val="26"/>
              </w:rPr>
              <w:t>I</w:t>
            </w:r>
            <w:r>
              <w:rPr>
                <w:rFonts w:eastAsia="Calibri"/>
                <w:i/>
                <w:sz w:val="26"/>
                <w:szCs w:val="26"/>
                <w:lang w:val="ru-RU"/>
              </w:rPr>
              <w:t>I до конца 2018 года</w:t>
            </w:r>
            <w:r>
              <w:rPr>
                <w:rFonts w:eastAsia="Calibri"/>
                <w:sz w:val="26"/>
                <w:szCs w:val="26"/>
                <w:lang w:val="ru-RU"/>
              </w:rPr>
              <w:t xml:space="preserve"> 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- обеспечение участия в экспертных рабочих группах по совершенствованию контрольно-надзорной деятельности по видам контроля и по видам предпринимательской деятельности, 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подготовка дорожных карт по актуализации нормативных правовых актов, содержащих обязательные требования, которые указанными рабочими группами признаны требующими актуализации, а также принятие нормативных правовых актов, актуализующих соответствующие обязательные требования;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– 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внедрено использование проверочных листов, содержащих исчерпывающий перечень обязательных требований, наиболее значимых с точки зрения недопущения возникновения угрозы причинения вреда, а также угрозы чрезвычайных ситуаций природного и техногенного характера, в том числе в электронном виде в "Личном кабинете" поднадзорных субъектов;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- 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 xml:space="preserve">проведена систематизация (выборка) обязательных требований по отдельным видам контроля (надзора), </w:t>
            </w:r>
            <w:r>
              <w:rPr>
                <w:rFonts w:eastAsia="Calibri"/>
                <w:sz w:val="26"/>
                <w:szCs w:val="26"/>
                <w:lang w:val="ru-RU"/>
              </w:rPr>
              <w:lastRenderedPageBreak/>
              <w:t>относящихся к компетенции Росздравнадзора, в соответствии с подготовленной методикой для целей их использования в информационных системах;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- </w:t>
            </w:r>
            <w:r>
              <w:rPr>
                <w:lang w:val="ru-RU"/>
              </w:rPr>
              <w:t>о</w:t>
            </w:r>
            <w:r>
              <w:rPr>
                <w:rFonts w:eastAsia="Calibri"/>
                <w:sz w:val="26"/>
                <w:szCs w:val="26"/>
                <w:lang w:val="ru-RU"/>
              </w:rPr>
              <w:t>беспечено принятие правовых актов, определяющих порядок систематической оценки эффективности обязательных требований для обеспечения минимизации рисков и предотвращения негативных социальных или экономических последствий с участием предпринимательского сообщества и с использованием личных кабинетов с учетом установленных общих требований и реализуется соответствующий механизм;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внедрено анкетирование проверяемых лиц с использованием сервисов «Личного кабинета» на Едином портале государственных услуг для оценки качества проведенных в отношении них проверочных мероприятий (совместно с Минкомсвязи России), в том числе в целях использования в АИС Росздравнадзора.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>Этап III с 2019 по 2025 годы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- обеспечено принятие нормативных правовых акты, актуализирующих обязательные требования по всем видам контроля (надзора), </w:t>
            </w:r>
            <w:r>
              <w:rPr>
                <w:lang w:val="ru-RU"/>
              </w:rPr>
              <w:t xml:space="preserve"> а также </w:t>
            </w:r>
            <w:r>
              <w:rPr>
                <w:rFonts w:eastAsia="Calibri"/>
                <w:sz w:val="26"/>
                <w:szCs w:val="26"/>
                <w:lang w:val="ru-RU"/>
              </w:rPr>
              <w:t>актуализованы по наиболее массовым видам предпринимательской деятельности;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внедрено использование проверочных листов, содержащих исчерпывающий перечень обязательных требований, наиболее значимых с точки зрения недопущения возникновения угрозы причинения вреда, а также угрозы чрезвычайных ситуаций природного и техногенного характера, по всем видам контроля (надзора), относящихся к компетенции Росздравнадзора;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проведена систематизация (выборка) обязательных требований по всем видам контроля (надзора),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относящихся к компетенции Росздравнадзора, в соответствии с подготовленной методикой с использованием информационных систем.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4</w:t>
            </w:r>
            <w:r>
              <w:rPr>
                <w:rFonts w:eastAsia="Calibri"/>
                <w:b/>
                <w:sz w:val="26"/>
                <w:szCs w:val="26"/>
                <w:lang w:val="ru-RU"/>
              </w:rPr>
              <w:t>. Внедрение системы комплексной профилактики нарушений обязательных требований</w:t>
            </w:r>
            <w:r>
              <w:rPr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для </w:t>
            </w:r>
            <w:r>
              <w:rPr>
                <w:rFonts w:eastAsia="Calibri"/>
                <w:b/>
                <w:sz w:val="26"/>
                <w:szCs w:val="26"/>
                <w:lang w:val="ru-RU"/>
              </w:rPr>
              <w:t>юридических лиц и индивидуальных предпринимателей, осуществляющих деятельность в сфере здравоохранения (медицинская деятельность, оборот лекарственных препаратов, оборот медицинских изделий)</w:t>
            </w:r>
            <w:r>
              <w:rPr>
                <w:rFonts w:eastAsia="Calibri"/>
                <w:sz w:val="26"/>
                <w:szCs w:val="26"/>
                <w:lang w:val="ru-RU"/>
              </w:rPr>
              <w:t>: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Этап </w:t>
            </w:r>
            <w:r>
              <w:rPr>
                <w:rFonts w:eastAsia="Calibri"/>
                <w:i/>
                <w:sz w:val="26"/>
                <w:szCs w:val="26"/>
              </w:rPr>
              <w:t>I</w:t>
            </w: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 до конца 2017 года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– проводятся ежеквартальные публичные мероприятия для представителей подконтрольных объектов центральным аппаратом Росздравнадзора и территориальными органами 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 xml:space="preserve">Росздравнадзора с анализом правоприменительной практики, в том числе результаты проведенных контрольно-надзорных мероприятий, </w:t>
            </w:r>
            <w:r>
              <w:rPr>
                <w:rFonts w:eastAsia="Calibri"/>
                <w:sz w:val="26"/>
                <w:szCs w:val="26"/>
                <w:lang w:val="ru-RU"/>
              </w:rPr>
              <w:lastRenderedPageBreak/>
              <w:t xml:space="preserve">подготовленных руководств по соблюдению обязательных требований 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по контролируемым видам деятельности в сфере здравоохранения, размещаются в сети «Интернет» на официальном сайте Росздравнадзора с механизмом  «обратной связи»;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опубликован в открытом доступе годовой доклад по правоприменительной практике по государственному контролю качества и безопасности медицинской деятельности; федеральному государственному надзору в сфере обращения лекарственных средств; государственному контролю за обращением медицинских изделий, в том числе сопряженные виды лицензионного контроля: лицензионный контроль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"Сколково"); лицензионный контроль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техники; лицензионный контроль фармацевтической деятельности; лицензионный контроль оборота наркотических средств, психотропных веществ и их прекурсоров, культивированию наркосодержащих растений, статистике типовых и массовых нарушений обязательных требований по контролируемым видам деятельности в сфере здравоохранения с указанием возможных мероприятий по их устранению ("как делать нельзя");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 – опубликован в открытом доступе годовой доклад с руководством по соблюдению обязательных требований по государственному контролю качества и безопасности медицинской деятельности; федеральному государственному надзору в сфере обращения лекарственных средств; государственному контролю за обращением медицинских изделий, в том числе сопряженные виды лицензионного контроля: лицензионный контроль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"Сколково"); лицензионный контроль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техники; лицензионный контроль фармацевтической деятельности; лицензионный контроль оборота наркотических средств, психотропных веществ и их прекурсоров, культивированию наркосодержащих растений, дающих разъяснение, какое поведение является правомерным, а также разъяснение новых требований нормативных актов, необходимых для их реализации организационных, технических мероприятий ("как делать нужно (можно)");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– внедрение </w:t>
            </w:r>
            <w:r>
              <w:rPr>
                <w:lang w:val="ru-RU"/>
              </w:rPr>
              <w:t xml:space="preserve">  </w:t>
            </w:r>
            <w:r>
              <w:rPr>
                <w:rFonts w:eastAsia="Calibri"/>
                <w:sz w:val="26"/>
                <w:szCs w:val="26"/>
                <w:lang w:val="ru-RU"/>
              </w:rPr>
              <w:t xml:space="preserve">по государственному контролю качества и безопасности медицинской деятельности; федеральному государственному надзору в сфере обращения лекарственных средств; государственному контролю за обращением медицинских изделий, в том числе сопряженные виды лицензионного контроля: </w:t>
            </w:r>
            <w:r>
              <w:rPr>
                <w:rFonts w:eastAsia="Calibri"/>
                <w:sz w:val="26"/>
                <w:szCs w:val="26"/>
                <w:lang w:val="ru-RU"/>
              </w:rPr>
              <w:lastRenderedPageBreak/>
              <w:t>лицензионный контроль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"Сколково"); лицензионный контроль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техники; лицензионный контроль фармацевтической деятельности; лицензионный контроль оборота наркотических средств, психотропных веществ и их прекурсоров, культивированию наркосодержащих растений механизма обучения (включая самообучение) подконтрольных субъектов, самостоятельной оценке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подконтрольным субъектом соблюдения обязательных требований (самообследование) с использованием проверочных листов, содержащих обязательные требования с использованием личного кабинета в сети Интернет;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сформирована система профилактических мер для населения по вопросам информирования о правах в сфере охраны здоровья граждан и формированию здорового образа жизни;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  внедрена в Росздравнадзоре возможность досудебного обжалования в электронном виде, в том числе, с использованием "Личного кабинета" на основе утвержденного Стандарта комплексной профилактики нарушений обязательных требований для ФОИВ (разрабатывается Минэкономразвития России).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 </w:t>
            </w: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Этап </w:t>
            </w:r>
            <w:r>
              <w:rPr>
                <w:rFonts w:eastAsia="Calibri"/>
                <w:i/>
                <w:sz w:val="26"/>
                <w:szCs w:val="26"/>
              </w:rPr>
              <w:t>II</w:t>
            </w: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 до конца 2018 года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опубликован в открытом доступе годовой доклад с руководством по соблюдению обязательных требований по государственному контролю качества и безопасности медицинской деятельности; федеральному государственному надзору в сфере обращения лекарственных средств; государственному контролю за обращением медицинских изделий, в том числе сопряженные виды лицензионного контроля: лицензионный контроль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"Сколково"); лицензионный контроль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техники; лицензионный контроль фармацевтической деятельности; лицензионный контроль оборота наркотических средств, психотропных веществ и их прекурсоров, культивированию наркосодержащих растений, дающих разъяснение, какое поведение является правомерным, а также разъяснение новых требований нормативных актов, необходимых для их реализации организационных, технических мероприятий ("как делать нужно (можно)" (далее публикуется на ежегодной основе);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lastRenderedPageBreak/>
              <w:t>– опубликован в открытом доступе годовой доклад по правоприменительной практике по государственному контролю качества и безопасности медицинской деятельности; федеральному государственному надзору в сфере обращения лекарственных средств; государственному контролю за обращением медицинских изделий, в том числе сопряженные виды лицензионного контроля: лицензионный контроль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"Сколково"); лицензионный контроль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техники; лицензионный контроль фармацевтической деятельности; лицензионный контроль оборота наркотических средств, психотропных веществ и их прекурсоров, культивированию наркосодержащих растений, статистике типовых и массовых нарушений обязательных требований по государственному контролю качества и безопасности медицинской деятельности, федеральному государственному надзору в сфере обращения лекарственных средств, государственному контролю за обращением медицинских изделий с указанием возможных мероприятий по их устранению ("как делать нельзя") (далее публикуется на ежегодной основе);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– проведена оценка эффективности и востребованности профилактических мероприятий для подконтрольных субъектов, профилактические мероприятия дифференцированы по категориям и типам подконтрольных субъектов, внедрены инструменты самопроверки. 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>Этап III с 2019 по 2025 годы: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внедрены механизмы обучения (включая самообучение) подконтрольных субъектов соблюдению предъявляемых к ним обязательных требований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по всем видам контроля, относящихся к компетенции Росздравнадзора, с учетом принятого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Стандарта комплексной профилактики обязательных требований, в том числе с использованием «личных кабинетов» организаций и индивидуальных предпринимателей в сети «Интернет» (совместно с Минкомсвязи России);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внедрены механизмы самостоятельного определения подконтрольным субъектом перечней предъявляемых к нему обязательных требований по всем видам контроля, относящихся к компетенции Росздравнадзора, (самообследование на основе заполнения проверочных листов), в том числе с использованием «личных кабинетов» организаций и индивидуальных предпринимателей в сети «Интернет» (совместно с Минкомсвязи России);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внедрен в полном объеме Стандарт комплексной профилактики обязательных требований по всем видам контроля, относящихся к компетенции Росздравнадзора.</w:t>
            </w:r>
          </w:p>
          <w:p>
            <w:pPr>
              <w:jc w:val="both"/>
              <w:rPr>
                <w:rFonts w:eastAsia="Calibri"/>
                <w:b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b/>
                <w:sz w:val="26"/>
                <w:szCs w:val="26"/>
                <w:lang w:val="ru-RU"/>
              </w:rPr>
              <w:lastRenderedPageBreak/>
              <w:t>5. Внедрение эффективных механизмов кадровой политики в деятельности Росздравнадзора по контролируемым видам деятельности в сфере здравоохранения: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Этап </w:t>
            </w:r>
            <w:r>
              <w:rPr>
                <w:rFonts w:eastAsia="Calibri"/>
                <w:i/>
                <w:sz w:val="26"/>
                <w:szCs w:val="26"/>
              </w:rPr>
              <w:t>I</w:t>
            </w: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 до конца 2017 года:</w:t>
            </w:r>
          </w:p>
          <w:p>
            <w:pPr>
              <w:tabs>
                <w:tab w:val="left" w:pos="43"/>
                <w:tab w:val="left" w:pos="1134"/>
              </w:tabs>
              <w:ind w:left="43" w:firstLine="426"/>
              <w:contextualSpacing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проведен комплексный аудит 1-го уровня для оценки качества функциональных процессов контрольно-надзорной деятельности и их кадрового обеспечения</w:t>
            </w:r>
            <w:r>
              <w:rPr>
                <w:rFonts w:eastAsia="Arial Unicode MS"/>
                <w:sz w:val="26"/>
                <w:szCs w:val="26"/>
                <w:lang w:val="ru-RU"/>
              </w:rPr>
              <w:t>;</w:t>
            </w:r>
          </w:p>
          <w:p>
            <w:pPr>
              <w:tabs>
                <w:tab w:val="left" w:pos="43"/>
                <w:tab w:val="left" w:pos="1134"/>
              </w:tabs>
              <w:ind w:left="43" w:firstLine="426"/>
              <w:contextualSpacing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проведена стратегическая сессия с руководством Росздравнадзора по результатам комплексного аудита, направленная на обучение современным методам реализации контрольно-надзорной деятельности, развитие управленческих компетенций;</w:t>
            </w:r>
          </w:p>
          <w:p>
            <w:pPr>
              <w:tabs>
                <w:tab w:val="left" w:pos="43"/>
                <w:tab w:val="left" w:pos="1134"/>
              </w:tabs>
              <w:ind w:left="43" w:firstLine="426"/>
              <w:contextualSpacing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утвержден Стандарт кадрового менеджмента Росздравнадзора, позволяющий переориентировать деятельность структурных подразделений и территориальных органов Росздравнадзора на риск-ориентированный подход, а также внедрить современные технологии кадровой работы;</w:t>
            </w:r>
          </w:p>
          <w:p>
            <w:pPr>
              <w:tabs>
                <w:tab w:val="left" w:pos="43"/>
                <w:tab w:val="left" w:pos="1134"/>
              </w:tabs>
              <w:ind w:left="43" w:firstLine="426"/>
              <w:contextualSpacing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оптимизирована организационная структура с учетом необходимости усиления кадрового состава аналитических подразделений, к функциям которых относится прогнозирование рисков;</w:t>
            </w:r>
          </w:p>
          <w:p>
            <w:pPr>
              <w:tabs>
                <w:tab w:val="left" w:pos="43"/>
                <w:tab w:val="left" w:pos="1134"/>
              </w:tabs>
              <w:ind w:left="43" w:firstLine="426"/>
              <w:contextualSpacing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разработаны детализированные квалификационные требования, содержащие необходимые профессиональные компетенции и личностные качества, необходимые для осуществления контрольно-надзорной деятельности (модели компетенций для руководителя и инспектора), а также оценочные инструменты для проверки их наличия у претендентов и гражданских служащих;</w:t>
            </w:r>
          </w:p>
          <w:p>
            <w:pPr>
              <w:tabs>
                <w:tab w:val="left" w:pos="43"/>
                <w:tab w:val="left" w:pos="1134"/>
              </w:tabs>
              <w:ind w:left="43" w:firstLine="426"/>
              <w:contextualSpacing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разработаны системы материальной и нематериальной мотивации гражданских служащих, осуществляющих контрольно-надзорные полномочия;</w:t>
            </w:r>
          </w:p>
          <w:p>
            <w:pPr>
              <w:tabs>
                <w:tab w:val="left" w:pos="43"/>
                <w:tab w:val="left" w:pos="1134"/>
              </w:tabs>
              <w:ind w:left="43" w:firstLine="426"/>
              <w:contextualSpacing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проведена ежегодная (текущая) оценка эффективности и результативности профессиональной служебной деятельности, компетенций, а также профессиональных и личностных качеств, необходимых для исполнения должностных обязанностей, 25 % гражданских служащих Росздравнадзора осуществляющих контрольно-надзорные функции;</w:t>
            </w:r>
          </w:p>
          <w:p>
            <w:pPr>
              <w:tabs>
                <w:tab w:val="left" w:pos="43"/>
                <w:tab w:val="left" w:pos="1134"/>
              </w:tabs>
              <w:ind w:left="43" w:firstLine="426"/>
              <w:contextualSpacing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принято участие в компьютерном тестировании гражданских служащих Росздравнадзора (модель компетенций «руководитель», модель компетенций «инспектор») на основании комплекса, разработанного Минтрудом России;</w:t>
            </w:r>
          </w:p>
          <w:p>
            <w:pPr>
              <w:tabs>
                <w:tab w:val="left" w:pos="43"/>
                <w:tab w:val="left" w:pos="1134"/>
              </w:tabs>
              <w:ind w:left="43" w:firstLine="426"/>
              <w:contextualSpacing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реализован на основании методологии Минтруда России пилотный проект, направленный на совершенствование функциональных процессов контрольно-надзорной деятельности;</w:t>
            </w:r>
          </w:p>
          <w:p>
            <w:pPr>
              <w:tabs>
                <w:tab w:val="left" w:pos="43"/>
                <w:tab w:val="left" w:pos="1134"/>
              </w:tabs>
              <w:ind w:left="43" w:firstLine="426"/>
              <w:contextualSpacing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- принято участи в мероприятиях по профессиональному развитию сотрудников кадровых служб – специалистов в </w:t>
            </w:r>
            <w:r>
              <w:rPr>
                <w:sz w:val="26"/>
                <w:szCs w:val="26"/>
              </w:rPr>
              <w:t>HR</w:t>
            </w:r>
            <w:r>
              <w:rPr>
                <w:sz w:val="26"/>
                <w:szCs w:val="26"/>
                <w:lang w:val="ru-RU"/>
              </w:rPr>
              <w:t>-технологиях федеральных органов исполнительной власти по дополнительным профессиональным программам в области управления персоналом (</w:t>
            </w:r>
            <w:r>
              <w:rPr>
                <w:sz w:val="26"/>
                <w:szCs w:val="26"/>
              </w:rPr>
              <w:t>HR</w:t>
            </w:r>
            <w:r>
              <w:rPr>
                <w:sz w:val="26"/>
                <w:szCs w:val="26"/>
                <w:lang w:val="ru-RU"/>
              </w:rPr>
              <w:t>-менеджмента);</w:t>
            </w:r>
          </w:p>
          <w:p>
            <w:pPr>
              <w:tabs>
                <w:tab w:val="left" w:pos="43"/>
                <w:tab w:val="left" w:pos="1134"/>
              </w:tabs>
              <w:ind w:left="43" w:firstLine="426"/>
              <w:contextualSpacing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- проведено обучение, в том числе дистанционно, управленческих команд в центральном аппарате и </w:t>
            </w:r>
            <w:r>
              <w:rPr>
                <w:sz w:val="26"/>
                <w:szCs w:val="26"/>
                <w:lang w:val="ru-RU"/>
              </w:rPr>
              <w:lastRenderedPageBreak/>
              <w:t>территориальных органах Росздравнадзора современным методам реализации контрольно-надзорной деятельности, управленческим компетенциям (</w:t>
            </w:r>
            <w:r>
              <w:rPr>
                <w:sz w:val="26"/>
                <w:szCs w:val="26"/>
              </w:rPr>
              <w:t>soft</w:t>
            </w:r>
            <w:r>
              <w:rPr>
                <w:sz w:val="26"/>
                <w:szCs w:val="26"/>
                <w:lang w:val="ru-RU"/>
              </w:rPr>
              <w:t>-</w:t>
            </w:r>
            <w:r>
              <w:rPr>
                <w:sz w:val="26"/>
                <w:szCs w:val="26"/>
              </w:rPr>
              <w:t>skills</w:t>
            </w:r>
            <w:r>
              <w:rPr>
                <w:sz w:val="26"/>
                <w:szCs w:val="26"/>
                <w:lang w:val="ru-RU"/>
              </w:rPr>
              <w:t>, управление изменениями, навыки проектного управления).</w:t>
            </w:r>
          </w:p>
          <w:p>
            <w:pPr>
              <w:tabs>
                <w:tab w:val="left" w:pos="262"/>
                <w:tab w:val="left" w:pos="1134"/>
              </w:tabs>
              <w:ind w:left="284"/>
              <w:contextualSpacing/>
              <w:jc w:val="both"/>
              <w:rPr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Этап </w:t>
            </w:r>
            <w:r>
              <w:rPr>
                <w:rFonts w:eastAsia="Calibri"/>
                <w:i/>
                <w:sz w:val="26"/>
                <w:szCs w:val="26"/>
              </w:rPr>
              <w:t>II</w:t>
            </w: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  до конца 2018 года:</w:t>
            </w:r>
          </w:p>
          <w:p>
            <w:pPr>
              <w:ind w:firstLine="469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 </w:t>
            </w:r>
            <w:r>
              <w:rPr>
                <w:sz w:val="26"/>
                <w:szCs w:val="26"/>
                <w:lang w:val="ru-RU"/>
              </w:rPr>
              <w:t xml:space="preserve"> внедрен стандарт кадрового менеджмента, учитывающий специфику осуществления контрольно-надзорных полномочий Росздравнадзора;</w:t>
            </w:r>
          </w:p>
          <w:p>
            <w:pPr>
              <w:ind w:firstLine="469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- внедрены технологии </w:t>
            </w:r>
            <w:r>
              <w:rPr>
                <w:sz w:val="26"/>
                <w:szCs w:val="26"/>
                <w:lang w:val="ru-RU"/>
              </w:rPr>
              <w:t>привлечения и отбора кандидатов на замещение должностей гражданской службы в Росздравнадзоре, основанные на модели компетенций гражданских служащих;</w:t>
            </w:r>
          </w:p>
          <w:p>
            <w:pPr>
              <w:ind w:firstLine="469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- Осуществлена корректировка должностных регламентов гражданских служащих </w:t>
            </w:r>
            <w:r>
              <w:rPr>
                <w:sz w:val="26"/>
                <w:szCs w:val="26"/>
                <w:lang w:val="ru-RU"/>
              </w:rPr>
              <w:t>Росздравнадзора осуществляющих контрольно-надзорные функции</w:t>
            </w:r>
            <w:r>
              <w:rPr>
                <w:rFonts w:eastAsia="Calibri"/>
                <w:sz w:val="26"/>
                <w:szCs w:val="26"/>
                <w:lang w:val="ru-RU"/>
              </w:rPr>
              <w:t xml:space="preserve"> в части совершенствования квалификационных требований для замещения должностей гражданской службы;</w:t>
            </w:r>
          </w:p>
          <w:p>
            <w:pPr>
              <w:ind w:firstLine="469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- внедрен </w:t>
            </w:r>
            <w:r>
              <w:rPr>
                <w:sz w:val="26"/>
                <w:szCs w:val="26"/>
                <w:lang w:val="ru-RU"/>
              </w:rPr>
              <w:t>аналитический модуль комплексной оценки эффективности и результативности деятельности контрольно-надзорных органов, включающий расширенные показатели организационных, технических и финансовых затрат, нагрузки и результатов деятельности кадрового состава</w:t>
            </w:r>
            <w:r>
              <w:rPr>
                <w:rFonts w:eastAsia="Calibri"/>
                <w:sz w:val="26"/>
                <w:szCs w:val="26"/>
                <w:lang w:val="ru-RU"/>
              </w:rPr>
              <w:t xml:space="preserve">. </w:t>
            </w:r>
          </w:p>
          <w:p>
            <w:pPr>
              <w:ind w:firstLine="469"/>
              <w:jc w:val="both"/>
              <w:rPr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- внедрен </w:t>
            </w:r>
            <w:r>
              <w:rPr>
                <w:sz w:val="26"/>
                <w:szCs w:val="26"/>
                <w:lang w:val="ru-RU"/>
              </w:rPr>
              <w:t xml:space="preserve">комплекс компьютерного тестирования государственных служащих (модель компетенций «руководитель», модель компетенций «инспектор»). </w:t>
            </w:r>
          </w:p>
          <w:p>
            <w:pPr>
              <w:ind w:firstLine="469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- внедрена система </w:t>
            </w:r>
            <w:r>
              <w:rPr>
                <w:sz w:val="26"/>
                <w:szCs w:val="26"/>
                <w:lang w:val="ru-RU"/>
              </w:rPr>
              <w:t>материальной и нематериальной мотивации гражданских служащих Росздравнадзора, включающая технологии «кадрового лифта», карьерных траекторий и подходы к осуществлению материального стимулирования и поощрения</w:t>
            </w:r>
            <w:r>
              <w:rPr>
                <w:rFonts w:eastAsia="Calibri"/>
                <w:sz w:val="26"/>
                <w:szCs w:val="26"/>
                <w:lang w:val="ru-RU"/>
              </w:rPr>
              <w:t>.</w:t>
            </w: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Этап </w:t>
            </w:r>
            <w:r>
              <w:rPr>
                <w:rFonts w:eastAsia="Calibri"/>
                <w:i/>
                <w:sz w:val="26"/>
                <w:szCs w:val="26"/>
              </w:rPr>
              <w:t>III</w:t>
            </w: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  с 2019 по 2025 год:</w:t>
            </w:r>
          </w:p>
          <w:p>
            <w:pPr>
              <w:ind w:firstLine="469"/>
              <w:jc w:val="both"/>
              <w:rPr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 </w:t>
            </w:r>
            <w:r>
              <w:rPr>
                <w:sz w:val="26"/>
                <w:szCs w:val="26"/>
                <w:lang w:val="ru-RU"/>
              </w:rPr>
              <w:t>внедрена новая система оплаты труда, призванная повысить мотивацию гражданских служащих к результативной и эффективной деятельности.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b/>
                <w:sz w:val="26"/>
                <w:szCs w:val="26"/>
                <w:lang w:val="ru-RU"/>
              </w:rPr>
              <w:t>6. Внедрение системы предупреждения и профилактики коррупционных проявлений в контрольно-надзорной деятельности по контролируемым видам деятельности в сфере здравоохранения:</w:t>
            </w: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>Этап I до конца 2017 года</w:t>
            </w:r>
          </w:p>
          <w:p>
            <w:pPr>
              <w:pStyle w:val="a7"/>
              <w:tabs>
                <w:tab w:val="left" w:pos="43"/>
              </w:tabs>
              <w:ind w:left="43" w:firstLine="426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Утверждены карты коррупционных рисков Росздравнадзора, прошедшие процедуру общественного обсуждения, </w:t>
            </w:r>
            <w:r>
              <w:rPr>
                <w:rFonts w:eastAsia="Arial Unicode MS"/>
                <w:sz w:val="26"/>
                <w:szCs w:val="26"/>
                <w:lang w:val="ru-RU"/>
              </w:rPr>
              <w:t>включающие риски при организации контрольно-надзорных мероприятий в центральном аппарате Росздравнадзора, на уровне руководителя территориального органа, инспекторов</w:t>
            </w:r>
            <w:r>
              <w:rPr>
                <w:rFonts w:eastAsia="Calibri"/>
                <w:sz w:val="26"/>
                <w:szCs w:val="26"/>
                <w:lang w:val="ru-RU"/>
              </w:rPr>
              <w:t>;</w:t>
            </w:r>
          </w:p>
          <w:p>
            <w:pPr>
              <w:ind w:firstLine="469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 xml:space="preserve">На основании карты коррупционных рисков реализован комплекс правовых и организационных </w:t>
            </w:r>
            <w:r>
              <w:rPr>
                <w:rFonts w:eastAsia="Arial Unicode MS"/>
                <w:sz w:val="26"/>
                <w:szCs w:val="26"/>
                <w:lang w:val="ru-RU"/>
              </w:rPr>
              <w:lastRenderedPageBreak/>
              <w:t>мероприятий по минимизации выявленных коррупционных рисков, учитывающий особенности коррупционных рисков, возникающих на разных уровнях принятия управленческих решений, включая:</w:t>
            </w:r>
          </w:p>
          <w:p>
            <w:pPr>
              <w:pStyle w:val="a7"/>
              <w:numPr>
                <w:ilvl w:val="0"/>
                <w:numId w:val="35"/>
              </w:numPr>
              <w:ind w:left="742" w:hanging="425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 xml:space="preserve">корректировку нормативных правовых актов, в том числе порядков и административных регламентов осуществления контрольно-надзорных функций и иных правовых актов в целях упорядочивания административных процедур, исключения противоречий и пробелов в правовом регулировании, создающих коррупционные риски; </w:t>
            </w:r>
          </w:p>
          <w:p>
            <w:pPr>
              <w:pStyle w:val="a7"/>
              <w:numPr>
                <w:ilvl w:val="0"/>
                <w:numId w:val="35"/>
              </w:numPr>
              <w:ind w:left="742" w:hanging="425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регламентацию организационных процессов контрольно-надзорной деятельности;</w:t>
            </w:r>
          </w:p>
          <w:p>
            <w:pPr>
              <w:pStyle w:val="a7"/>
              <w:numPr>
                <w:ilvl w:val="0"/>
                <w:numId w:val="35"/>
              </w:numPr>
              <w:ind w:left="742" w:hanging="425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минимизацию степени усмотрения при принятии решений должностными лицами посредством установления четких оснований и критериев принятия решений;</w:t>
            </w:r>
          </w:p>
          <w:p>
            <w:pPr>
              <w:pStyle w:val="a7"/>
              <w:numPr>
                <w:ilvl w:val="0"/>
                <w:numId w:val="35"/>
              </w:numPr>
              <w:ind w:left="742" w:hanging="425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обеспечение прозрачности, понятности и выполнимости административных процедур;</w:t>
            </w:r>
          </w:p>
          <w:p>
            <w:pPr>
              <w:pStyle w:val="a7"/>
              <w:numPr>
                <w:ilvl w:val="0"/>
                <w:numId w:val="35"/>
              </w:numPr>
              <w:ind w:left="742" w:hanging="425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 xml:space="preserve">ограничение возможности неоднократного проведения проверок в отношении подконтрольного субъекта одним и тем же инспектором; </w:t>
            </w:r>
          </w:p>
          <w:p>
            <w:pPr>
              <w:pStyle w:val="a7"/>
              <w:numPr>
                <w:ilvl w:val="0"/>
                <w:numId w:val="35"/>
              </w:numPr>
              <w:ind w:left="742" w:hanging="425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сокращение количества дней на подготовку гражданам и организациям разъяснений законодательства Российской Федерации в сфере контроля (надзора), в том числе в целях защиты прав субъектов контроля (надзора);</w:t>
            </w:r>
          </w:p>
          <w:p>
            <w:pPr>
              <w:pStyle w:val="a7"/>
              <w:numPr>
                <w:ilvl w:val="0"/>
                <w:numId w:val="35"/>
              </w:numPr>
              <w:ind w:left="742" w:hanging="425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оснащение инспекторского состава техническими средствами фото-, видео- и аудиозаписи при проведении выездных проверок, а также создание условий для приобщения к материалам проверки фото-, видео- и аудиозаписей, предоставленных подконтрольным субъектом;</w:t>
            </w:r>
          </w:p>
          <w:p>
            <w:pPr>
              <w:pStyle w:val="a7"/>
              <w:numPr>
                <w:ilvl w:val="0"/>
                <w:numId w:val="35"/>
              </w:numPr>
              <w:ind w:left="742" w:hanging="425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организацию проведения регулярного мониторинга информации о возможных коррупционных правонарушениях, совершенных федеральными государственными служащими, в том числе жалоб и обращений граждан и организаций, публикаций в средствах массовой информации;</w:t>
            </w:r>
          </w:p>
          <w:p>
            <w:pPr>
              <w:pStyle w:val="a7"/>
              <w:numPr>
                <w:ilvl w:val="0"/>
                <w:numId w:val="35"/>
              </w:numPr>
              <w:ind w:left="742" w:hanging="425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shd w:val="clear" w:color="auto" w:fill="FFFFFF"/>
                <w:lang w:val="ru-RU"/>
              </w:rPr>
              <w:t>разработку и (или) внесение изменений в нормативные правовые акты Росздравнадзора по организации механизма ротации, в том числе в части корректировки перечня должностей</w:t>
            </w:r>
            <w:r>
              <w:rPr>
                <w:rFonts w:eastAsia="Arial Unicode MS"/>
                <w:sz w:val="26"/>
                <w:szCs w:val="26"/>
                <w:lang w:val="ru-RU"/>
              </w:rPr>
              <w:t>, связанных с высоким уровнем коррупционного риска, по которым предусматривается ротация</w:t>
            </w:r>
            <w:r>
              <w:rPr>
                <w:rStyle w:val="af8"/>
                <w:rFonts w:eastAsia="Arial Unicode MS"/>
                <w:sz w:val="26"/>
                <w:szCs w:val="26"/>
                <w:lang w:val="ru-RU"/>
              </w:rPr>
              <w:footnoteReference w:id="1"/>
            </w:r>
            <w:r>
              <w:rPr>
                <w:rFonts w:eastAsia="Arial Unicode MS"/>
                <w:sz w:val="26"/>
                <w:szCs w:val="26"/>
                <w:lang w:val="ru-RU"/>
              </w:rPr>
              <w:t>;</w:t>
            </w:r>
          </w:p>
          <w:p>
            <w:pPr>
              <w:pStyle w:val="a7"/>
              <w:numPr>
                <w:ilvl w:val="0"/>
                <w:numId w:val="35"/>
              </w:numPr>
              <w:ind w:left="742" w:hanging="425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информирование подконтрольных субъектов о последствиях совершения коррупционных правонарушений и преступлений коррупционной направленности (далее - комплекс правовых и организационных мер по минимизации коррупционных рисков).</w:t>
            </w:r>
          </w:p>
          <w:p>
            <w:pPr>
              <w:pStyle w:val="a7"/>
              <w:ind w:left="43" w:firstLine="284"/>
              <w:jc w:val="both"/>
              <w:rPr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 xml:space="preserve">Реализован комплекс профилактических мероприятий, направленный на соблюдение установленных антикоррупционных запретов,  ограничений и требований лицами, замещающими должности, связанные с высоким коррупционным риском в области государственного контроля качества и безопасности </w:t>
            </w:r>
            <w:r>
              <w:rPr>
                <w:rFonts w:eastAsia="Arial Unicode MS"/>
                <w:sz w:val="26"/>
                <w:szCs w:val="26"/>
                <w:lang w:val="ru-RU"/>
              </w:rPr>
              <w:lastRenderedPageBreak/>
              <w:t>медицинской деятельности, федерального государственного надзора в сфере обращения лекарственных средств, государственного контроля за обращением медицинских изделий, а также формирование у таких лиц нетерпимого отношения к проявлениям коррупции</w:t>
            </w:r>
            <w:r>
              <w:rPr>
                <w:sz w:val="26"/>
                <w:szCs w:val="26"/>
                <w:shd w:val="clear" w:color="auto" w:fill="FFFFFF"/>
                <w:lang w:val="ru-RU"/>
              </w:rPr>
              <w:t>.</w:t>
            </w:r>
          </w:p>
          <w:p>
            <w:pPr>
              <w:pStyle w:val="a7"/>
              <w:ind w:left="43" w:firstLine="284"/>
              <w:jc w:val="both"/>
              <w:rPr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sz w:val="26"/>
                <w:szCs w:val="26"/>
                <w:shd w:val="clear" w:color="auto" w:fill="FFFFFF"/>
                <w:lang w:val="ru-RU"/>
              </w:rPr>
              <w:t>Организовано обучение и иные мероприятия по профессиональному развитию по антикоррупционной тематике для сотрудников подразделений (должностных лиц), ответственных за профилактику коррупционных и иных правонарушений, а также для лиц, замещающих должности федеральной государственной службы, связанные с высоким коррупционным риском.</w:t>
            </w:r>
          </w:p>
          <w:p>
            <w:pPr>
              <w:ind w:firstLine="327"/>
              <w:jc w:val="both"/>
              <w:rPr>
                <w:rFonts w:eastAsia="Calibri"/>
                <w:b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shd w:val="clear" w:color="auto" w:fill="FFFFFF"/>
                <w:lang w:val="ru-RU"/>
              </w:rPr>
              <w:t xml:space="preserve">Принято участие в организации проведения социологического исследования </w:t>
            </w:r>
            <w:r>
              <w:rPr>
                <w:rFonts w:eastAsia="Arial Unicode MS"/>
                <w:sz w:val="26"/>
                <w:szCs w:val="26"/>
                <w:lang w:val="ru-RU"/>
              </w:rPr>
              <w:t>уровня коррупции в Росздравнадзоре</w:t>
            </w:r>
            <w:r>
              <w:rPr>
                <w:rFonts w:eastAsia="Arial Unicode MS"/>
                <w:sz w:val="26"/>
                <w:szCs w:val="26"/>
                <w:shd w:val="clear" w:color="auto" w:fill="FFFFFF"/>
                <w:lang w:val="ru-RU"/>
              </w:rPr>
              <w:t>.</w:t>
            </w:r>
          </w:p>
          <w:p>
            <w:pPr>
              <w:jc w:val="both"/>
              <w:rPr>
                <w:rFonts w:eastAsia="Calibri"/>
                <w:b/>
                <w:sz w:val="26"/>
                <w:szCs w:val="26"/>
                <w:lang w:val="ru-RU"/>
              </w:rPr>
            </w:pPr>
          </w:p>
          <w:p>
            <w:pPr>
              <w:ind w:left="43" w:firstLine="457"/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>Этап II до конца 2018 года</w:t>
            </w:r>
          </w:p>
          <w:p>
            <w:pPr>
              <w:ind w:firstLine="327"/>
              <w:jc w:val="both"/>
              <w:rPr>
                <w:rFonts w:eastAsia="Calibri"/>
                <w:b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Контрольно-надзорная деятельность осуществляется с учетом коррупционных рисков, предусмотренных картой коррупционных рисков по государственному контролю качества и безопасности медицинской деятельности, федеральному государственному надзору в сфере обращения лекарственных средств, государственному контролю за обращением медицинских изделий.</w:t>
            </w:r>
          </w:p>
          <w:p>
            <w:pPr>
              <w:ind w:firstLine="327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shd w:val="clear" w:color="auto" w:fill="FFFFFF"/>
                <w:lang w:val="ru-RU"/>
              </w:rPr>
              <w:t>Скорректирован перечень должностей</w:t>
            </w:r>
            <w:r>
              <w:rPr>
                <w:rFonts w:eastAsia="Arial Unicode MS"/>
                <w:sz w:val="26"/>
                <w:szCs w:val="26"/>
                <w:lang w:val="ru-RU"/>
              </w:rPr>
              <w:t>, связанный с высоким уровнем коррупционного риска, по которым предусматривается ротация</w:t>
            </w:r>
            <w:r>
              <w:rPr>
                <w:rStyle w:val="af8"/>
                <w:rFonts w:eastAsia="Arial Unicode MS"/>
                <w:sz w:val="26"/>
                <w:szCs w:val="26"/>
                <w:lang w:val="ru-RU"/>
              </w:rPr>
              <w:footnoteReference w:id="2"/>
            </w:r>
            <w:r>
              <w:rPr>
                <w:rFonts w:eastAsia="Arial Unicode MS"/>
                <w:sz w:val="26"/>
                <w:szCs w:val="26"/>
                <w:lang w:val="ru-RU"/>
              </w:rPr>
              <w:t>.</w:t>
            </w:r>
          </w:p>
          <w:p>
            <w:pPr>
              <w:ind w:firstLine="327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Продолжена реализация комплекса правовых и организационных мероприятий по минимизации выявленных коррупционных рисков.</w:t>
            </w:r>
          </w:p>
          <w:p>
            <w:pPr>
              <w:ind w:firstLine="327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Реализован комплекс профилактических мероприятий, направленный на соблюдение установленных антикоррупционных запретов, ограничений и требований лицами, замещающими должности, связанные с высоким коррупционным риском, а также формирование у таких лиц нетерпимого отношения к проявлениям коррупции.</w:t>
            </w:r>
          </w:p>
          <w:p>
            <w:pPr>
              <w:ind w:firstLine="327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Организовано обучение и иные мероприятия по профессиональному развитию по антикоррупционной тематике для сотрудников подразделений (должностных лиц), ответственных за профилактику коррупционных и иных правонарушений, а также для лиц, замещающих должности федеральной государственной службы, по государственному контролю качества и безопасности медицинской деятельности, федеральному государственному надзору в сфере обращения лекарственных средств, государственному контролю за обращением медицинских изделий.</w:t>
            </w:r>
          </w:p>
          <w:p>
            <w:pPr>
              <w:ind w:firstLine="525"/>
              <w:jc w:val="both"/>
              <w:rPr>
                <w:rFonts w:eastAsia="Calibri"/>
                <w:b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shd w:val="clear" w:color="auto" w:fill="FFFFFF"/>
                <w:lang w:val="ru-RU"/>
              </w:rPr>
              <w:t xml:space="preserve">Принято участие в организации проведения социологического исследования уровня коррупции в </w:t>
            </w:r>
            <w:r>
              <w:rPr>
                <w:rFonts w:eastAsia="Arial Unicode MS"/>
                <w:sz w:val="26"/>
                <w:szCs w:val="26"/>
                <w:shd w:val="clear" w:color="auto" w:fill="FFFFFF"/>
                <w:lang w:val="ru-RU"/>
              </w:rPr>
              <w:lastRenderedPageBreak/>
              <w:t>Росздравнадзоре.</w:t>
            </w:r>
          </w:p>
          <w:p>
            <w:pPr>
              <w:jc w:val="both"/>
              <w:rPr>
                <w:rFonts w:eastAsia="Calibri"/>
                <w:b/>
                <w:sz w:val="26"/>
                <w:szCs w:val="26"/>
                <w:lang w:val="ru-RU"/>
              </w:rPr>
            </w:pPr>
          </w:p>
          <w:p>
            <w:pPr>
              <w:tabs>
                <w:tab w:val="left" w:pos="469"/>
              </w:tabs>
              <w:ind w:left="43" w:firstLine="457"/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>Этап III с 2019 по 2025 год:</w:t>
            </w:r>
          </w:p>
          <w:p>
            <w:pPr>
              <w:pStyle w:val="a7"/>
              <w:tabs>
                <w:tab w:val="left" w:pos="327"/>
              </w:tabs>
              <w:ind w:left="0" w:firstLine="469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Продолжена реализация комплекса правовых и организационных мероприятий по минимизации выявленных коррупционных рисков, возникающих при реализации Росздравнадзором своих функций, в том числе комплекса профилактических мероприятий, направленного на соблюдение установленных антикоррупционных запретов, ограничений и требований лицами, замещающими должности, связанные с высоким коррупционным риском, а также формирование у таких лиц нетерпимого отношения к проявлениям коррупции;</w:t>
            </w:r>
          </w:p>
          <w:p>
            <w:pPr>
              <w:ind w:firstLine="469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Реализован комплекс профилактических мероприятий, направленный на соблюдение установленных антикоррупционных запретов и ограничений лицами, замещающими должности, связанные с высоким коррупционным риском, а также формирование у таких лиц нетерпимого отношения к проявлениям коррупции.</w:t>
            </w:r>
          </w:p>
          <w:p>
            <w:pPr>
              <w:pStyle w:val="a7"/>
              <w:ind w:left="0" w:firstLine="469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Исполнен план ротации федеральных государственных служащих Росздравнадзора, замещающих должности, связанные с высоким коррупционным риском;</w:t>
            </w:r>
          </w:p>
          <w:p>
            <w:pPr>
              <w:ind w:firstLine="469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Организовано обучение и иные мероприятия по профессиональному развитию по антикоррупционной тематике для сотрудников подразделений (должностных лиц), ответственных за профилактику коррупционных и иных правонарушений, а также для лиц, замещающих должности федеральной государственной службы, связанные с высоким коррупционным риском.</w:t>
            </w:r>
          </w:p>
          <w:p>
            <w:pPr>
              <w:ind w:firstLine="525"/>
              <w:jc w:val="both"/>
              <w:rPr>
                <w:rFonts w:eastAsia="Calibri"/>
                <w:b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shd w:val="clear" w:color="auto" w:fill="FFFFFF"/>
                <w:lang w:val="ru-RU"/>
              </w:rPr>
              <w:t>Принято участие в организации проведения социологического исследования уровня коррупции в Росздравнадзоре.</w:t>
            </w:r>
          </w:p>
          <w:p>
            <w:pPr>
              <w:tabs>
                <w:tab w:val="left" w:pos="469"/>
              </w:tabs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b/>
                <w:sz w:val="26"/>
                <w:szCs w:val="26"/>
                <w:lang w:val="ru-RU"/>
              </w:rPr>
              <w:t xml:space="preserve">7. Создание и внедрение комплексной модели информационного обеспечения и системы автоматизации контроля (надзора) в сфере здравоохранения </w:t>
            </w: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>Для всех контролируемых видов деятельности в сфере здравоохранения в рамках реализации паспорта</w:t>
            </w: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Этап </w:t>
            </w:r>
            <w:r>
              <w:rPr>
                <w:rFonts w:eastAsia="Calibri"/>
                <w:i/>
                <w:sz w:val="26"/>
                <w:szCs w:val="26"/>
              </w:rPr>
              <w:t>I</w:t>
            </w: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 до конца 2017 года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 на основе применения Стандарта информатизации контрольно-надзорной деятельности (далее – КНД) в подсистеме «Паспорт организации» АИС Росздравнадзора создание и использование для планирования контрольно-надзорных мероприятий исчерпывающих реестров проверяемых объектов:</w:t>
            </w:r>
          </w:p>
          <w:p>
            <w:pPr>
              <w:pStyle w:val="a7"/>
              <w:numPr>
                <w:ilvl w:val="1"/>
                <w:numId w:val="29"/>
              </w:num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организации, осуществляющие медицинскую деятельность;</w:t>
            </w:r>
          </w:p>
          <w:p>
            <w:pPr>
              <w:pStyle w:val="a7"/>
              <w:numPr>
                <w:ilvl w:val="1"/>
                <w:numId w:val="29"/>
              </w:numPr>
              <w:ind w:left="0" w:firstLine="109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 организации, осуществляющие оптовую торговлю лекарственными средствами; розничную торговлю лекарственными препаратами, производство лекарственных средств, </w:t>
            </w:r>
            <w:r>
              <w:rPr>
                <w:sz w:val="26"/>
                <w:szCs w:val="26"/>
                <w:lang w:val="ru-RU"/>
              </w:rPr>
              <w:t>оборот наркотических средств, психотропных веществ и их прекурсоров и культивирование наркосодержащих растений;</w:t>
            </w:r>
          </w:p>
          <w:p>
            <w:pPr>
              <w:pStyle w:val="a7"/>
              <w:numPr>
                <w:ilvl w:val="1"/>
                <w:numId w:val="29"/>
              </w:numPr>
              <w:ind w:left="0" w:firstLine="109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организации, осуществляющие производство, техническое обслуживание, оборот медицинских изделий;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softHyphen/>
              <w:t>–   АИС Росздравнадзора внесены категории риска и критерии отнесения к ним подконтрольных объектов;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с использованием АИС Росздравнадзора распределены в полном объеме подконтрольные объекты, осуществляющие деятельность в сфере здравоохранения, по категориям риска:</w:t>
            </w:r>
          </w:p>
          <w:p>
            <w:pPr>
              <w:pStyle w:val="a7"/>
              <w:numPr>
                <w:ilvl w:val="1"/>
                <w:numId w:val="29"/>
              </w:num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организации, осуществляющие медицинскую деятельность;</w:t>
            </w:r>
          </w:p>
          <w:p>
            <w:pPr>
              <w:pStyle w:val="a7"/>
              <w:numPr>
                <w:ilvl w:val="1"/>
                <w:numId w:val="29"/>
              </w:numPr>
              <w:ind w:left="0" w:firstLine="109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 организации, осуществляющие оптовую торговлю лекарственными средствами; розничную торговлю лекарственными препаратами, производство лекарственных средств, </w:t>
            </w:r>
            <w:r>
              <w:rPr>
                <w:sz w:val="26"/>
                <w:szCs w:val="26"/>
                <w:lang w:val="ru-RU"/>
              </w:rPr>
              <w:t>оборот наркотических средств, психотропных веществ и их прекурсоров и культивирование наркосодержащих растений;</w:t>
            </w:r>
          </w:p>
          <w:p>
            <w:pPr>
              <w:pStyle w:val="a7"/>
              <w:numPr>
                <w:ilvl w:val="1"/>
                <w:numId w:val="29"/>
              </w:numPr>
              <w:ind w:left="0" w:firstLine="109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организации, осуществляющие производство, техническое обслуживание, оборот медицинских изделий;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–  реализация в подсистеме «Паспорт организации» АИС Росздравнадзора механизма сбора, учета и аналитической обработки показателей (индикаторов) для определения категорий риска и классов опасностей проверяемых объектов, в том числе, на основе межведомственного взаимодействия с использованием единой системы межведомственного электронного взаимодействия (СМЭВ) с </w:t>
            </w:r>
            <w:r>
              <w:rPr>
                <w:sz w:val="26"/>
                <w:szCs w:val="26"/>
                <w:lang w:val="ru-RU"/>
              </w:rPr>
              <w:t xml:space="preserve"> Федеральными органами исполнительной власти (Минздрав России, МВД России, Минпромторг России, ФНС Росси, ФМБА, Роспотребнадзор, Росреестр, Роспатент, Росаккредитация, Росстандарт, Рособрнадзор, ФТС России, Федеральное Казначейство)</w:t>
            </w:r>
            <w:r>
              <w:rPr>
                <w:rFonts w:eastAsia="Calibri"/>
                <w:sz w:val="26"/>
                <w:szCs w:val="26"/>
                <w:lang w:val="ru-RU"/>
              </w:rPr>
              <w:t>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исключение в подсистемах АИС Росздравнадзора ручного ввода сведений о проверяемых субъектах (объектах), если сведения возможно получить в электронном виде с использованием СМЭВ;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softHyphen/>
            </w:r>
            <w:r>
              <w:rPr>
                <w:rFonts w:eastAsia="Calibri"/>
                <w:sz w:val="26"/>
                <w:szCs w:val="26"/>
                <w:lang w:val="ru-RU"/>
              </w:rPr>
              <w:softHyphen/>
              <w:t>– проведение внутреннего управленческого аудита, в результате которого определены возможности автоматизации бизнес-процессов по осуществляемым видам контрольно/надзорной деятельности;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–на основе применения Стандарта информатизации КНД в подсистеме «Проверки» АИС Росздравнадзора созданы и используются "Личные кабинеты должностного лица" для планирования и исполнения контрольно-надзорных мероприятий с использованием исчерпывающих реестров проверяемых объектов, с учетом требований Системы управления рисками ведомств, в том числе для формирования  ежегодного плана проверок юридических лиц и индивидуальных предпринимателей, осуществляющих деятельность в сфере здравоохранения, на 2018 год. Инспекторы вносят данные о проверках в подсистему «Проверки» АИС Росздравнадзора;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обеспечение готовности подсистем АИС Росздравнадзора к представлению в электронном виде с использованием СМЭВ в ЕРП учетных данных о проверках; в ГАСУ сведений о КНМ и отчетности по показателям результативности и эффективности деятельности Росздравнадзора, с учетом требований к целостности и достоверности передаваемых данных;</w:t>
            </w:r>
          </w:p>
          <w:p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lastRenderedPageBreak/>
              <w:t>–  с использованием АИС Росздравнадзора и официального сайта Росздравнадзора</w:t>
            </w:r>
            <w:r>
              <w:rPr>
                <w:sz w:val="26"/>
                <w:szCs w:val="26"/>
                <w:lang w:val="ru-RU"/>
              </w:rPr>
              <w:t xml:space="preserve"> обеспечена доступность и понятность информации для подконтрольных лиц, осуществляющих деятельность в сфере здравоохранения, о присвоенных им категориях риска, критериях отнесения к ним, а также возможность просмотра перечней обязательных требований к объектам проверки;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развитие (первая очередь) АИС Росздравнадзора (в части исполнения контрольно-надзорных функций) до Базового уровня Стандарта информатизации КНД, предполагающее обеспечение комплексной автоматизации внедрения современных механизмов и инструментов управления эффективностью деятельности Росздравнадзора, а также осуществление консолидации информации об объектах надзора;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интегрирование с ведомственными информационными системами:</w:t>
            </w:r>
          </w:p>
          <w:p>
            <w:pPr>
              <w:pStyle w:val="a7"/>
              <w:numPr>
                <w:ilvl w:val="0"/>
                <w:numId w:val="30"/>
              </w:num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единый государственный реестр юридических лиц (взаимодействие через СМЭВ с ФНС России);</w:t>
            </w:r>
          </w:p>
          <w:p>
            <w:pPr>
              <w:pStyle w:val="a7"/>
              <w:numPr>
                <w:ilvl w:val="0"/>
                <w:numId w:val="30"/>
              </w:num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единый государственный реестр индивидуальных предпринимателей (взаимодействие через СМЭВ с ФНС России);</w:t>
            </w:r>
          </w:p>
          <w:p>
            <w:pPr>
              <w:pStyle w:val="a7"/>
              <w:numPr>
                <w:ilvl w:val="0"/>
                <w:numId w:val="30"/>
              </w:num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государственная автоматизированная информационная система "Управление" (представление сведений через СМЭВ);</w:t>
            </w:r>
          </w:p>
          <w:p>
            <w:pPr>
              <w:pStyle w:val="a7"/>
              <w:numPr>
                <w:ilvl w:val="0"/>
                <w:numId w:val="30"/>
              </w:numPr>
              <w:ind w:left="43" w:firstLine="284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федеральная государственная информационная система "Единый портал государственных и муниципальных услуг (функций)" (информационное взаимодействие через СМЭВ с «Личным кабинетом»;</w:t>
            </w:r>
          </w:p>
          <w:p>
            <w:pPr>
              <w:pStyle w:val="a7"/>
              <w:numPr>
                <w:ilvl w:val="0"/>
                <w:numId w:val="30"/>
              </w:num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единый реестр проверок (взаимодействие через СМЭВ Генеральной прокуратурой Российской Федерации и органами Прокуратуры субъектов Российской Федерации);</w:t>
            </w:r>
          </w:p>
          <w:p>
            <w:pPr>
              <w:pStyle w:val="a7"/>
              <w:numPr>
                <w:ilvl w:val="0"/>
                <w:numId w:val="30"/>
              </w:num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единый реестр субъектов малого и среднего предпринимательства (взаимодействие через СМЭВ с ФНС России);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с использованием АИС Росздравнадзора и официального сайта Росздравнадзора обеспечена публичность и доступность показателей результативности и эффективности контроля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по контролируемым видам деятельности в сфере здравоохранения;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на официальном сайте Росздравнадзора в информационно-телекоммуникационной сети "Интернет" размещены исчерпывающие перечни нормативных правовых актов, устанавливающих обязательные требования, соблюдение которых оценивается при проведении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государственного контроля качества и безопасности медицинской деятельности, федерального государственного надзора в сфере обращения лекарственных средств, государственного контроля за обращением медицинских изделий;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по федеральному государственному надзору за обращением лекарственных средств, государственному контролю за обращением медицинских изделий реализован механизм самостоятельной оценки подконтрольным субъектом соблюдения предъявляемых к нему обязательных требований с использованием "Личного кабинета".</w:t>
            </w:r>
          </w:p>
          <w:p>
            <w:pPr>
              <w:ind w:left="360"/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lastRenderedPageBreak/>
              <w:t xml:space="preserve">Этап </w:t>
            </w:r>
            <w:r>
              <w:rPr>
                <w:rFonts w:eastAsia="Calibri"/>
                <w:i/>
                <w:sz w:val="26"/>
                <w:szCs w:val="26"/>
              </w:rPr>
              <w:t>II</w:t>
            </w: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 с 2018 года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развитие (вторая очередь) АИС Росздравнадзора (в части исполнения контрольно-надзорных функций) до Среднего уровня Стандарта информатизации КНД, предполагающее обеспечение комплексной автоматизации внедрения современных механизмов и инструментов управления эффективностью деятельности Росздравнадзора, а также осуществление консолидации информации об объектах надзора;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внедрен автоматизированный механизм сбора и проверки достоверности, полноты и точности расчета первичных данных, верификация источников при расчете фактических показателей результативности и эффективности контрольно-надзорной деятельности по контролируемым видам деятельности в сфере здравоохранения с использованием АИС Росздравнадзора;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обеспечен автоматизированный анализ результативности и эффективности контроля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по контролируемым видам деятельности в сфере здравоохранения с использованием АИС Росздравнадзора;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–в личном кабинете проверяемого лица на 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Едином портале государственных услуг  (совместно с Минкомсвязи России) размещены исчерпывающие перечни нормативных правовых актов, устанавливающих обязательные требования, соблюдение которых оценивается при проведении государственного контроля качества и безопасности медицинской деятельности, федерального государственного надзора в сфере обращения лекарственных средств, государственного контроля за обращением медицинских изделий, соблюдение которых является наиболее значимым с точки зрения недопущения возникновения угрозы причинения вреда здоровью и жизни граждан;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внедрение в АИС Росздравнадзора алгоритмов расчета показателей результативности и эффективности КНМ на основании Базовой модели Минэкономразвития России, и автоматическая отправка данных расчета и первичных данных о проведенных КНМ в ГАС «Управление» с использованием СМЭВ;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реализация и использование в подсистеме «Проверки» АИС Росздравнадзора механизма планирования и учета проведения контрольно-надзорными органами профилактических мероприятий, направленных на соблюдение проверяемыми лицами обязательных требований;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реализация использования в АИС Росздравнадзора Проверочных листов на базе перечней ОТ к поднадзорным объектам. Результаты заполнения Проверочных листов инспектором, либо самим поднадзорным субъектом в "Личном кабинете" используются в Росздравнадзоре для присвоения и актуализации информации об объектах проверок и присвоенных им категориях рисков и классах опасности (совместно с Минкомсвязи России);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реализация в АИС Росздравнадзора отдельных элементов уровня соответствия стандарта «Высокий»;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 в подсистеме «Проверки» АИС Росздравнадзора исключена возможность планирования/проведения проверки без получения учетного идентификатора (номера) в электронном паспорте проверки ЕРП;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–создание и внедрение автоматизированных многофункциональных «личных кабинетов» по объектам </w:t>
            </w:r>
            <w:r>
              <w:rPr>
                <w:rFonts w:eastAsia="Calibri"/>
                <w:sz w:val="26"/>
                <w:szCs w:val="26"/>
                <w:lang w:val="ru-RU"/>
              </w:rPr>
              <w:lastRenderedPageBreak/>
              <w:t>контроля с возможностью интерактивного взаимодействия с субъектами контроля, в которых отображается информация об отнесении объекта к определенной категории риска (классу опасности), информация о  результатах проведённых контрольно-надзорных мероприятий и анализом самоконтроля, направленного на предупреждение совершения правонарушения в части  качества и безопасности медицинской деятельности, обращения лекарственных средств,  обращения медицинских изделий;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в АИС Росздравнадзора разработана и внедрена «динамическая модель» управления категориями риска;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  в АИС Росздравнадзора внедрена система регулярной переоценки рисков в зависимости от фактического распределения ущерба по категориям риска, в том числе с использованием технологий работы с массивами больших данных (</w:t>
            </w:r>
            <w:r>
              <w:rPr>
                <w:rFonts w:eastAsia="Calibri"/>
                <w:sz w:val="26"/>
                <w:szCs w:val="26"/>
              </w:rPr>
              <w:t>Big</w:t>
            </w:r>
            <w:r>
              <w:rPr>
                <w:rFonts w:eastAsia="Calibri"/>
                <w:sz w:val="26"/>
                <w:szCs w:val="26"/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Data</w:t>
            </w:r>
            <w:r>
              <w:rPr>
                <w:rFonts w:eastAsia="Calibri"/>
                <w:sz w:val="26"/>
                <w:szCs w:val="26"/>
                <w:lang w:val="ru-RU"/>
              </w:rPr>
              <w:t>), с учетом рекомендаций ОЭСР;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реализация в Едином личном кабинете на ЕПГУ (совместно с Минкомсвязи России) доступности функционала взаимодействия проверяемых субъектов с Росздравнадзором по ключевым видам контроля и надзора:</w:t>
            </w:r>
          </w:p>
          <w:p>
            <w:pPr>
              <w:pStyle w:val="a7"/>
              <w:numPr>
                <w:ilvl w:val="1"/>
                <w:numId w:val="31"/>
              </w:numPr>
              <w:ind w:left="43" w:firstLine="1037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электронного декларирования «Электронный инспектор», обеспечивающий возможность отправки данных декларации (заполненных Проверочных листов) на основе перечней ОТ к объектам проверки, что влияет на количество очных проверок поднадзорного лица с одновременным увеличением периода их проведения, при этом результат заполнения анализируется проверяющим Росздравнадзора и включается в риск-матрицу объекта;</w:t>
            </w:r>
          </w:p>
          <w:p>
            <w:pPr>
              <w:pStyle w:val="a7"/>
              <w:numPr>
                <w:ilvl w:val="1"/>
                <w:numId w:val="31"/>
              </w:numPr>
              <w:ind w:left="43" w:firstLine="1037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информирования поднадзорного лица о присвоенных объектам категориях риска и классах опасностей;</w:t>
            </w:r>
          </w:p>
          <w:p>
            <w:pPr>
              <w:pStyle w:val="a7"/>
              <w:numPr>
                <w:ilvl w:val="1"/>
                <w:numId w:val="31"/>
              </w:numPr>
              <w:ind w:left="43" w:firstLine="1037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информирования проверяемого лица о планируемых в его отношении проверках, с возможностью просмотра перечней обязательных требований к объектам проверки и осуществляемым видам предпринимательской деятельности.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i/>
                <w:sz w:val="26"/>
                <w:szCs w:val="26"/>
                <w:lang w:val="ru-RU"/>
              </w:rPr>
            </w:pP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Этап </w:t>
            </w:r>
            <w:r>
              <w:rPr>
                <w:rFonts w:eastAsia="Calibri"/>
                <w:i/>
                <w:sz w:val="26"/>
                <w:szCs w:val="26"/>
              </w:rPr>
              <w:t>III</w:t>
            </w:r>
            <w:r>
              <w:rPr>
                <w:rFonts w:eastAsia="Calibri"/>
                <w:i/>
                <w:sz w:val="26"/>
                <w:szCs w:val="26"/>
                <w:lang w:val="ru-RU"/>
              </w:rPr>
              <w:t xml:space="preserve"> с 2019 года по 2025 год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–развитие (третья очередь) АИС Росздравнадзора (в части исполнения контрольно-надзорных функций) до Высокого уровня Стандарта информатизации КНД, предполагающее обеспечение комплексной автоматизации внедрения современных механизмов и инструментов управления эффективностью деятельности Росздравнадзора, а также осуществление консолидации информации об объектах надзора;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реализация и использование в подсистеме «Проверки» АИС Росздравнадзора механизма оформления организационно-распорядительных документов по проверкам и Актов проверки в электронном виде, с использованием справочных значений ОТ, видов нарушений, ущерба и видов ответственности, размещенных в Единой модели справочников ЕИС КНД. Исключение оформления документов при отсутствии в справочниках актуализированных значений;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lastRenderedPageBreak/>
              <w:t>– на основании результатов самообследования в Личном кабинете проверяемого лица на ЕПГУ, с использованием электронной декларации, путем анкетирования по видам деятельности проверяемых субъектов в информационных системах Росздравнадзора проводится автоматизированная актуализация данных реестров объектов, присвоенных им классов опасности и категорий рисков;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в Росздравнадзоре утверждены и используются электронные декларации и проверочные листы по всем видам контроля (надзора), в том числе в электронном виде в "Личном кабинете" проверяемого лица на ЕПГУ и в подсистеме «Проверки» АИС Росздравнадзора;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внедрение в Росздравнадзоре механизма обучения (в т.ч. самообучения) подконтрольных лиц, в том числе с использованием "Личного кабинета" проверяемого лица на ЕПГУ;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на основании утвержденных индикаторов рисков при осуществлении внеплановых проверок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юридических лиц и индивидуальных предпринимателей, осуществляющих деятельность в сфере здравоохранения (медицинская деятельность, оборот лекарственных препаратов, оборот медицинских изделий), доработана АИС Росздравнадзора, позволяющая собирать данные об указанных индикаторах в автоматизированном режиме, в том числе отслеживать их изменение;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плановые проверки с 2019 года в отношении государственного контроля качества и безопасности медицинской деятельности, федерального государственного надзора в сфере обращения лекарственных средств, государственного контроля за обращением медицинских изделий основаны на применении риск-ориентированного подхода с использованием АИС Росздравнадзора;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утверждены и используются при проведении контрольных мероприятий проверочные листы по государственному контролю качества и безопасности медицинской деятельности, федеральному государственному надзору в сфере обращения лекарственных средств, государственному контролю за обращением медицинских изделий, в том числе в электронном виде в АИС Росздравнадзора;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внедрены механизмы обучения (включая самообучение) подконтрольных субъектов по самостоятельной оценке подконтрольным субъектом соблюдения им предъявляемых к нему обязательных требований (самообследование), в том числе с использованием «Личного кабинета»;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обеспечена автоматизация расчета показателей результативности и эффективности по государственному контролю качества и безопасности медицинской деятельности, федеральному государственному надзору в сфере обращения лекарственных средств, государственному контролю за обращением медицинских изделий, позволяющая анализировать указанные данные в автоматическом режиме;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в Едином личном кабинете на ЕПГУ (совместно с Минкомсвязи России реализован расширенный функционал взаимодействия с проверяемыми субъектами за счет:</w:t>
            </w:r>
          </w:p>
          <w:p>
            <w:pPr>
              <w:pStyle w:val="a7"/>
              <w:numPr>
                <w:ilvl w:val="1"/>
                <w:numId w:val="32"/>
              </w:numPr>
              <w:ind w:left="43" w:firstLine="1134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самодиагностики проверяемых субъектов через анкетирование по видам деятельности, в результате которого происходит информирование субъекта об относящихся к нему объектах контроля </w:t>
            </w:r>
            <w:r>
              <w:rPr>
                <w:rFonts w:eastAsia="Calibri"/>
                <w:sz w:val="26"/>
                <w:szCs w:val="26"/>
                <w:lang w:val="ru-RU"/>
              </w:rPr>
              <w:lastRenderedPageBreak/>
              <w:t>(надзора), присвоенных им категориях риска и предъявляемых к ним перечнях ОТ;</w:t>
            </w:r>
          </w:p>
          <w:p>
            <w:pPr>
              <w:pStyle w:val="a7"/>
              <w:numPr>
                <w:ilvl w:val="1"/>
                <w:numId w:val="32"/>
              </w:numPr>
              <w:ind w:left="43" w:firstLine="1134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интерактивного взаимодействия с Росздравнадзором, в том числе, получения предписаний по результатам КНМ, ввод результатов исполнения предписаний и возможность оплаты штрафов за административные нарушения;</w:t>
            </w:r>
          </w:p>
          <w:p>
            <w:pPr>
              <w:pStyle w:val="a7"/>
              <w:numPr>
                <w:ilvl w:val="0"/>
                <w:numId w:val="32"/>
              </w:numPr>
              <w:ind w:left="43" w:firstLine="1091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обжалования действий должностных лиц Росздравнадзора в части планирования и результатов проверок;</w:t>
            </w:r>
          </w:p>
          <w:p>
            <w:pPr>
              <w:ind w:left="43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в АИС Росздравнадзора внедрены и используются межведомственные карты рисков и проводятся международные сопоставления эффективности систем управления рисками (ФНС России, ФМБА, Роспотребнадзор, ФФОМС);</w:t>
            </w:r>
          </w:p>
          <w:p>
            <w:pPr>
              <w:ind w:left="43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в АИС Росздравнадзора работает система "умного" государственного регулирования, позволяющая на основе мониторинга, данных "интернета вещей" и анализа результатов применения риск-ориентированного подхода формировать и корректировать показатели и мероприятия документов стратегического планирования, осуществлять выбор форм государственного регулирования, устанавливать обязательные требования, принимать взвешенные управленческие решения.</w:t>
            </w:r>
          </w:p>
        </w:tc>
      </w:tr>
      <w:tr>
        <w:trPr>
          <w:trHeight w:val="334"/>
        </w:trPr>
        <w:tc>
          <w:tcPr>
            <w:tcW w:w="3444" w:type="dxa"/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vAlign w:val="center"/>
          </w:tcPr>
          <w:p>
            <w:pPr>
              <w:jc w:val="center"/>
              <w:rPr>
                <w:rFonts w:eastAsia="Arial Unicode MS"/>
                <w:b/>
                <w:sz w:val="26"/>
                <w:szCs w:val="26"/>
                <w:lang w:val="ru-RU"/>
              </w:rPr>
            </w:pPr>
            <w:r>
              <w:rPr>
                <w:rFonts w:eastAsia="Arial Unicode MS"/>
                <w:b/>
                <w:sz w:val="26"/>
                <w:szCs w:val="26"/>
                <w:lang w:val="ru-RU"/>
              </w:rPr>
              <w:lastRenderedPageBreak/>
              <w:t>Описание модели функционирования результатов проекта</w:t>
            </w:r>
          </w:p>
        </w:tc>
        <w:tc>
          <w:tcPr>
            <w:tcW w:w="12348" w:type="dxa"/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</w:tcPr>
          <w:p>
            <w:pPr>
              <w:ind w:firstLine="436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Реализация проекта по основным ключевым направлениям контроля позволит внедрить новые инструменты контрольно-надзорной деятельности в сфере компетенции Росздравнадзора, учитывающие современные требования и условия. </w:t>
            </w:r>
          </w:p>
          <w:p>
            <w:pPr>
              <w:ind w:firstLine="436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Будет осуществлен переход от системы «наказания» к системе «предупреждения и профилактики» нарушений обязательных требований по государственному контролю качества и безопасности медицинской деятельности, федеральному государственному надзору в сфере обращения лекарственных средств, государственному контролю за обращением медицинских изделий, реализованы инновационные формы осуществления контрольно-надзорной деятельности (в т.ч. – с применением информационных технологий), повысится квалификация государственных гражданских служащих, что позволит существенно сократить время и затраты (трудовые/материальные) подконтрольных объектов и Росздравнадзора на проведение контрольной проверки как плановой, так и внеплановой. </w:t>
            </w:r>
          </w:p>
          <w:p>
            <w:pPr>
              <w:ind w:firstLine="436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Функционирующая модель позволит всем подконтрольным организациям ознакомится с порядком формирования ежегодного плана проверок и с порядком отнесения организации к конкретному классу риска, располагать полным, исчерпывающим перечнем правовых актов, содержащих обязательные требования по государственному контролю качества и безопасности медицинской деятельности, федеральному государственному надзору в сфере обращения лекарственных средств, государственному контролю за обращением медицинских изделий, соблюдение которых оценивается при проведении мероприятий по контролю.</w:t>
            </w:r>
          </w:p>
          <w:p>
            <w:pPr>
              <w:ind w:firstLine="436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lastRenderedPageBreak/>
              <w:t>Подконтрольные организации будут иметь исчерпывающий перечень оснований, по которым принимается решение об организации и проведении внеплановой проверки в случае поступления жалобы.</w:t>
            </w:r>
          </w:p>
          <w:p>
            <w:pPr>
              <w:ind w:firstLine="436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 Внедрение автоматизированных многофункциональных «личных кабинетов» по объектам контроля: по контролируемым видам деятельности в сфере здравоохранения,   создаст возможность интерактивного взаимодействия с субъектами контроля, в которых отображается информация об отнесении объекта к определенной категории риска (классу опасности), информация о результатах проведённых контрольно-надзорных мероприятий и анализ самоконтроля, также   будет представлена в полном объеме информация об оценки категории риска для организаций, осуществляющих одновременно несколько видов деятельности в сфере здравоохранения,  </w:t>
            </w:r>
          </w:p>
          <w:p>
            <w:pPr>
              <w:ind w:firstLine="436"/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ind w:firstLine="14"/>
              <w:jc w:val="both"/>
              <w:rPr>
                <w:rFonts w:eastAsia="Calibri"/>
                <w:b/>
                <w:sz w:val="26"/>
                <w:szCs w:val="26"/>
                <w:lang w:val="ru-RU"/>
              </w:rPr>
            </w:pPr>
            <w:r>
              <w:rPr>
                <w:rFonts w:eastAsia="Calibri"/>
                <w:b/>
                <w:sz w:val="26"/>
                <w:szCs w:val="26"/>
                <w:lang w:val="ru-RU"/>
              </w:rPr>
              <w:t>1.</w:t>
            </w:r>
            <w:r>
              <w:rPr>
                <w:rFonts w:eastAsia="Calibri"/>
                <w:b/>
                <w:sz w:val="26"/>
                <w:szCs w:val="26"/>
                <w:lang w:val="ru-RU"/>
              </w:rPr>
              <w:tab/>
              <w:t>Внедрение риск-ориентированного подхода при осуществлении контрольно-надзорной деятельности:</w:t>
            </w:r>
          </w:p>
          <w:p>
            <w:pPr>
              <w:ind w:firstLine="14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b/>
                <w:sz w:val="26"/>
                <w:szCs w:val="26"/>
                <w:lang w:val="ru-RU"/>
              </w:rPr>
              <w:t xml:space="preserve">- </w:t>
            </w:r>
            <w:r>
              <w:rPr>
                <w:rFonts w:eastAsia="Calibri"/>
                <w:sz w:val="26"/>
                <w:szCs w:val="26"/>
                <w:lang w:val="ru-RU"/>
              </w:rPr>
              <w:t>приведет к дифференцированному планированию проверок в зависимости от уровня риска причинения вреда жизни и здоровью граждан при оказании услуг по медицинской деятельности, лекарственному обеспечению и реализации медицинских изделий;</w:t>
            </w:r>
          </w:p>
          <w:p>
            <w:pPr>
              <w:ind w:firstLine="14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позволит сконцентрировать контроль в сфере здравоохранения на потенциальных нарушителей обязательных требований, представляющих непосредственную угрозу жизни и здоровью граждан, при одновременном снижении нагрузки на подконтрольные субъекты, деятельность которых не представляет реальной угрозы;</w:t>
            </w:r>
          </w:p>
          <w:p>
            <w:pPr>
              <w:ind w:firstLine="14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- позволит сформировать нормативную базу, позволяющую вести работу по переходу на риск-ориентированный подход, создать исчерпывающий реестр объектов контроля; </w:t>
            </w:r>
          </w:p>
          <w:p>
            <w:pPr>
              <w:ind w:firstLine="14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распределит в полном объеме подконтрольные  объекты по категориям риска для формирования плановых проверок, а также позволит  полностью  идентифицировать риски при осуществлении внеплановых проверок, что позволит создать комплексную систему учета и мониторинга случаев причинения вреда жизни и здоровью граждан подконтрольными организациями (индивидуальными предпринимателями);</w:t>
            </w:r>
          </w:p>
          <w:p>
            <w:pPr>
              <w:ind w:firstLine="14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обеспечит поддержку перечней объектов в актуальном состоянии;</w:t>
            </w:r>
          </w:p>
          <w:p>
            <w:pPr>
              <w:ind w:firstLine="14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перечни объектов, их категории риска (классы опасности) и критерии отнесения к ним объектов публично доступны;</w:t>
            </w:r>
          </w:p>
          <w:p>
            <w:pPr>
              <w:ind w:firstLine="14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определены индикаторы риска и показатели для внедрения «динамической модели» в зависимости от изменений профилей риска;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на регулярной основе переоцениваются риски в зависимости от фактического распределения ущерба по критериям риска (класса опасности), в том числе с использованием массивов «больших данных» (</w:t>
            </w:r>
            <w:r>
              <w:rPr>
                <w:rFonts w:eastAsia="Calibri"/>
                <w:sz w:val="26"/>
                <w:szCs w:val="26"/>
              </w:rPr>
              <w:t>Big</w:t>
            </w:r>
            <w:r>
              <w:rPr>
                <w:rFonts w:eastAsia="Calibri"/>
                <w:sz w:val="26"/>
                <w:szCs w:val="26"/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Data</w:t>
            </w:r>
            <w:r>
              <w:rPr>
                <w:rFonts w:eastAsia="Calibri"/>
                <w:sz w:val="26"/>
                <w:szCs w:val="26"/>
                <w:lang w:val="ru-RU"/>
              </w:rPr>
              <w:t>);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-  позволит создать единую базовую систему информации, связанную с существующими системами учета в </w:t>
            </w:r>
            <w:r>
              <w:rPr>
                <w:rFonts w:eastAsia="Calibri"/>
                <w:sz w:val="26"/>
                <w:szCs w:val="26"/>
                <w:lang w:val="ru-RU"/>
              </w:rPr>
              <w:lastRenderedPageBreak/>
              <w:t>сфере контрольно-надзорной деятельности такими, как Реестр проверок, Реестр субъектов малого и среднего предпринимательства, Единый государственный реестр юридических лиц, Единый государственный реестр индивидуальных предпринимателей и др.  Данная система станет связывающей основой для внедрения системы оценки результативности и эффективности контрольно-надзорной деятельности, комплексной профилактики нарушений обязательных требований, системы предупреждения и профилактики коррупционных проявлений;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 комплексная система учета и мониторинга случаев причинения вреда  жизни и здоровью граждан для управления критериями распределения объектов по категориям риска, профилям риска и динамической моделью распределения объектов по категориям риска свяжет системы оценки результативности и эффективности контрольно-надзорной деятельности, комплексной профилактики нарушений обязательных требований, системы предупреждения и профилактики коррупционных проявлений и будет определять содержание кадровой политики Росздравнадзора.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b/>
                <w:sz w:val="26"/>
                <w:szCs w:val="26"/>
                <w:lang w:val="ru-RU"/>
              </w:rPr>
            </w:pPr>
            <w:r>
              <w:rPr>
                <w:rFonts w:eastAsia="Calibri"/>
                <w:b/>
                <w:sz w:val="26"/>
                <w:szCs w:val="26"/>
                <w:lang w:val="ru-RU"/>
              </w:rPr>
              <w:t>2.</w:t>
            </w:r>
            <w:r>
              <w:rPr>
                <w:rFonts w:eastAsia="Calibri"/>
                <w:b/>
                <w:sz w:val="26"/>
                <w:szCs w:val="26"/>
                <w:lang w:val="ru-RU"/>
              </w:rPr>
              <w:tab/>
              <w:t>Разработка и внедрение системы оценки результативности и эффективности контрольно-надзорной деятельности: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разработка и внедрение совокупности механизмов оценки результативности и эффективности контрольно-надзорной деятельности позволит сфокусировать планирование и осуществление контрольно-надзорных мероприятий Росздравнадзора на максимальное сокращение ущерба жизни и здоровью человека, материального ущерба государства, граждан и организаций;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утверждение показателей конечных общественно значимых результатов по государственному контролю качества и безопасности медицинской деятельности, федеральному государственному надзору в сфере обращения лекарственных средств, государственному контролю за обращением медицинских изделий и механизмов контроля их достижения и актуализации, сбора достоверных данных по основным контролируемым видам риска позволит улучшить планирование проверочных мероприятий, расчет рисков при внедрении риск-ориентированного контроля и построить систему профилактических мероприятий Росздравнадзора;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по итогам реализации проекта в Росздравнадзоре будет применяться система оценки результатов деятельности, основанная на планировании и оценке достигнутых значений показателей утвержденных показателей, учитываемая в процессах стратегического управления контрольно-надзорной деятельностью Росздравнадзора, а также будут внедрены механизмы мотивации работников в зависимости от достигнутых результатов работы.</w:t>
            </w:r>
          </w:p>
          <w:p>
            <w:pPr>
              <w:jc w:val="both"/>
              <w:rPr>
                <w:rFonts w:eastAsia="Calibri"/>
                <w:b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b/>
                <w:sz w:val="26"/>
                <w:szCs w:val="26"/>
                <w:lang w:val="ru-RU"/>
              </w:rPr>
            </w:pPr>
            <w:r>
              <w:rPr>
                <w:rFonts w:eastAsia="Calibri"/>
                <w:b/>
                <w:sz w:val="26"/>
                <w:szCs w:val="26"/>
                <w:lang w:val="ru-RU"/>
              </w:rPr>
              <w:t xml:space="preserve">3. Систематизация, сокращение количества и актуализация обязательных требований в сфере </w:t>
            </w:r>
            <w:r>
              <w:rPr>
                <w:rFonts w:eastAsia="Calibri"/>
                <w:b/>
                <w:sz w:val="26"/>
                <w:szCs w:val="26"/>
                <w:lang w:val="ru-RU"/>
              </w:rPr>
              <w:lastRenderedPageBreak/>
              <w:t>здравоохранения: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благодаря утверждению исчерпывающих обязательных требований, исключается возможность использования, требования, «искусственное навязывание» государственным гражданским служащим подконтрольной организации обязательных требований, не включенных в указанный перечень, что будет способствовать снижению материальных, временных затрат, необходимых человеческих ресурсов как со стороны подконтрольных объектов, так и со стороны Росздравнадзора, а также будет снижен риск возникновения коррупционных факторов в момент проведения проверки;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формирование обязательных требований, предъявляемых к юридическим лицам и индивидуальным предпринимателям по пилотным видам контрольной деятельности, позволит подконтрольным объектам легко ориентироваться в объеме предъявляемых к ним требований, в том числе с помощью сервисов интерактивного взаимодействия через личный кабинет проверяемого лица на ЕПГУ (совместно с Минкомсвязью России) как для целей начала осуществления деятельности, получения лицензии (специального разрешения), так и для целей последующей деятельности с соблюдением, предъявляемых обязательных требований;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систематическое осуществление Росздравнадзором размещения и актуализации обязательных   требований, с учетом современных технологий, включая сервисы интерактивного взаимодействия через личный кабинет проверяемого лица на ЕПГУ, позволит организациям и гражданам (субъектам контроля) принимать участие в процессе актуализации обязательных требований, выявлении устаревших и дублирующих, в том числе излишних требований и требований, которые не могут быть выполнены без чрезмерных экономических затрат, или в связи с появлением современных технологий;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внедрение проверочных листов, используемых при проведении контрольно-надзорных мероприятий,  и размещение их в личном кабинете проверяемого лица на ЕПГУ дает возможность, прежде всего, субъектам малого и среднего бизнеса, а также индивидуальным предпринимателям изначально   ориентировать свою деятельность на соблюдение обязательных требований;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размещение Росздравнадзором перечней нормативных правовых актов и перечней обязательных требований в личном кабинете проверяемого лица на ЕПГУ исключает возможность оказания административного давления на объекты контроля, минимизирует коррупциогенные факторы и способствует реализации механизма профилактики нарушений обязательных требований в сфере здравоохранения объектами контроля.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- регулярно пересматриваются обязательные требования, с учетом механизмов ограничения принятия новых избыточных дублирующих обязательных требований по государственному контролю качества и безопасности медицинской деятельности, федеральному государственному надзору в сфере обращения лекарственных средств, государственному контролю за обращением медицинских изделий исключает </w:t>
            </w:r>
            <w:r>
              <w:rPr>
                <w:rFonts w:eastAsia="Calibri"/>
                <w:sz w:val="26"/>
                <w:szCs w:val="26"/>
                <w:lang w:val="ru-RU"/>
              </w:rPr>
              <w:lastRenderedPageBreak/>
              <w:t>повышение административной нагрузки на бизнес.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b/>
                <w:sz w:val="26"/>
                <w:szCs w:val="26"/>
                <w:lang w:val="ru-RU"/>
              </w:rPr>
            </w:pPr>
            <w:r>
              <w:rPr>
                <w:rFonts w:eastAsia="Calibri"/>
                <w:b/>
                <w:sz w:val="26"/>
                <w:szCs w:val="26"/>
                <w:lang w:val="ru-RU"/>
              </w:rPr>
              <w:t>4. Внедрена система комплексной профилактики нарушений обязательных требований в сфере здравоохранения: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сформирована система внедрения механизма профилактики с учетом организации профилактических мероприятий, направленных на предупреждение нарушений обязательных требований по контролируемым видам деятельности в сфере здравоохранения, которая создаст единый формат взаимодействия Росздравнадзора с субъектами контроля при:</w:t>
            </w:r>
          </w:p>
          <w:p>
            <w:pPr>
              <w:pStyle w:val="a7"/>
              <w:numPr>
                <w:ilvl w:val="0"/>
                <w:numId w:val="33"/>
              </w:numPr>
              <w:ind w:left="43" w:firstLine="426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утверждении перечня профилактических мероприятий, направленных на предупреждение нарушений обязательных требований в сфере здравоохранения по государственному контролю качества и безопасности медицинской деятельности,  федеральному государственному надзору в сфере обращения лекарственных средств, государственному контролю за обращением медицинских изделий;</w:t>
            </w:r>
          </w:p>
          <w:p>
            <w:pPr>
              <w:pStyle w:val="a7"/>
              <w:numPr>
                <w:ilvl w:val="0"/>
                <w:numId w:val="33"/>
              </w:numPr>
              <w:ind w:left="0" w:firstLine="426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организации профилактических мероприятий по наиболее частым нарушениям, допускаемым со стороны субъектов контроля по контролируемым видам деятельности в сфере здравоохранения;</w:t>
            </w:r>
          </w:p>
          <w:p>
            <w:pPr>
              <w:pStyle w:val="a7"/>
              <w:numPr>
                <w:ilvl w:val="0"/>
                <w:numId w:val="33"/>
              </w:numPr>
              <w:ind w:left="43" w:firstLine="1103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формировании перечня частых нарушений и размещения разъяснений по ним на сайте Росздравнадзора;</w:t>
            </w:r>
          </w:p>
          <w:p>
            <w:pPr>
              <w:pStyle w:val="a7"/>
              <w:numPr>
                <w:ilvl w:val="0"/>
                <w:numId w:val="33"/>
              </w:numPr>
              <w:ind w:left="43" w:firstLine="1103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поддержании актуальных перечней обязательных требований по государственному контролю качества и безопасности медицинской деятельности, федеральному государственному надзору в сфере обращения лекарственных средств, государственному контролю за обращением медицинских изделий;</w:t>
            </w:r>
          </w:p>
          <w:p>
            <w:pPr>
              <w:pStyle w:val="a7"/>
              <w:numPr>
                <w:ilvl w:val="0"/>
                <w:numId w:val="33"/>
              </w:numPr>
              <w:ind w:left="43" w:firstLine="1103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взаимодействии Росздравнадзора с СРО в целях профилактики правонарушений при осуществлении медицинской деятельности, обороту лекарственных препаратов и медицинских изделий;</w:t>
            </w:r>
          </w:p>
          <w:p>
            <w:pPr>
              <w:pStyle w:val="a7"/>
              <w:numPr>
                <w:ilvl w:val="0"/>
                <w:numId w:val="33"/>
              </w:numPr>
              <w:ind w:left="43" w:firstLine="1103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реализации программ профилактики Росздравнадзором нарушений обязательных требований по видам контроля (надзора);</w:t>
            </w:r>
          </w:p>
          <w:p>
            <w:pPr>
              <w:pStyle w:val="a7"/>
              <w:numPr>
                <w:ilvl w:val="0"/>
                <w:numId w:val="33"/>
              </w:numPr>
              <w:ind w:left="43" w:firstLine="1103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проведения обучающих мероприятий (вебинары, семинары, конференции и т.д.) для подконтрольных субъектов с использованием информационных   технологий;</w:t>
            </w:r>
          </w:p>
          <w:p>
            <w:pPr>
              <w:pStyle w:val="a7"/>
              <w:numPr>
                <w:ilvl w:val="0"/>
                <w:numId w:val="33"/>
              </w:numPr>
              <w:ind w:left="43" w:firstLine="1103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обеспечение механизма оценки бизнесом качества реализации программ по профилактике, что позволит Росздравнадзору оперативно реагировать на проблемные точки в соответствующих видах контроля.</w:t>
            </w:r>
          </w:p>
          <w:p>
            <w:pPr>
              <w:ind w:firstLine="426"/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b/>
                <w:sz w:val="26"/>
                <w:szCs w:val="26"/>
                <w:lang w:val="ru-RU"/>
              </w:rPr>
            </w:pPr>
            <w:r>
              <w:rPr>
                <w:rFonts w:eastAsia="Calibri"/>
                <w:b/>
                <w:sz w:val="26"/>
                <w:szCs w:val="26"/>
                <w:lang w:val="ru-RU"/>
              </w:rPr>
              <w:t xml:space="preserve">5. Внедрение эффективных механизмов кадровой политики в деятельности Росздравнадзора 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b/>
                <w:sz w:val="26"/>
                <w:szCs w:val="26"/>
                <w:lang w:val="ru-RU"/>
              </w:rPr>
              <w:t>по контролируемым видам деятельности в сфере здравоохранения:</w:t>
            </w:r>
          </w:p>
          <w:p>
            <w:pPr>
              <w:tabs>
                <w:tab w:val="left" w:pos="0"/>
                <w:tab w:val="left" w:pos="262"/>
              </w:tabs>
              <w:ind w:firstLine="426"/>
              <w:jc w:val="both"/>
              <w:rPr>
                <w:rFonts w:eastAsia="Times"/>
                <w:sz w:val="26"/>
                <w:szCs w:val="26"/>
                <w:lang w:val="ru-RU"/>
              </w:rPr>
            </w:pPr>
            <w:r>
              <w:rPr>
                <w:rFonts w:eastAsia="Times"/>
                <w:sz w:val="26"/>
                <w:szCs w:val="26"/>
                <w:lang w:val="ru-RU"/>
              </w:rPr>
              <w:t>Для внедрения эффективных механизмов кадровой политики будет проведен комплексный кадровый аудит 1-го уровня для структурных подразделений Росздравнадзора, осуществляющих контрольно-</w:t>
            </w:r>
            <w:r>
              <w:rPr>
                <w:rFonts w:eastAsia="Times"/>
                <w:sz w:val="26"/>
                <w:szCs w:val="26"/>
                <w:lang w:val="ru-RU"/>
              </w:rPr>
              <w:lastRenderedPageBreak/>
              <w:t xml:space="preserve">надзорные полномочия, - системный анализ полного цикла функциональных и управленческих решений. </w:t>
            </w:r>
          </w:p>
          <w:p>
            <w:pPr>
              <w:tabs>
                <w:tab w:val="left" w:pos="0"/>
                <w:tab w:val="left" w:pos="262"/>
              </w:tabs>
              <w:ind w:firstLine="426"/>
              <w:jc w:val="both"/>
              <w:rPr>
                <w:rFonts w:eastAsia="Times"/>
                <w:sz w:val="26"/>
                <w:szCs w:val="26"/>
                <w:lang w:val="ru-RU"/>
              </w:rPr>
            </w:pPr>
            <w:r>
              <w:rPr>
                <w:rFonts w:eastAsia="Times"/>
                <w:sz w:val="26"/>
                <w:szCs w:val="26"/>
                <w:lang w:val="ru-RU"/>
              </w:rPr>
              <w:t>Будут подготовлены стандарты кадрового менеджмента, которые позволят переориентировать кадровую работу на риск-ориентированный подход и применение связанных с ним показателей деятельности гражданских служащих, посредством создания правовых и организационных условий, обеспечивающих взаимосвязь кадровых процессов с целями, задачами и основными показателями деятельности Росздравнадзора.</w:t>
            </w:r>
          </w:p>
          <w:p>
            <w:pPr>
              <w:tabs>
                <w:tab w:val="left" w:pos="0"/>
                <w:tab w:val="left" w:pos="262"/>
              </w:tabs>
              <w:ind w:firstLine="426"/>
              <w:jc w:val="both"/>
              <w:rPr>
                <w:rFonts w:eastAsia="Times"/>
                <w:sz w:val="26"/>
                <w:szCs w:val="26"/>
                <w:lang w:val="ru-RU"/>
              </w:rPr>
            </w:pPr>
            <w:r>
              <w:rPr>
                <w:rFonts w:eastAsia="Times"/>
                <w:sz w:val="26"/>
                <w:szCs w:val="26"/>
                <w:lang w:val="ru-RU"/>
              </w:rPr>
              <w:t>Стандарты кадрового менеджмента, включают технологии:</w:t>
            </w:r>
          </w:p>
          <w:p>
            <w:pPr>
              <w:ind w:left="517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привлечения на должности государственной службы граждан, обладающих необходимыми квалификацией, профессиональными и личностными качествами;</w:t>
            </w:r>
          </w:p>
          <w:p>
            <w:pPr>
              <w:ind w:left="516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- отбора и адаптации кандидатов на замещение должностей государственной службы, включающие меры </w:t>
            </w:r>
            <w:r>
              <w:rPr>
                <w:rStyle w:val="FontStyle14"/>
                <w:lang w:val="ru-RU"/>
              </w:rPr>
              <w:t>по повышению объективности и прозрачности процедуры проведения конкурсов на замещение вакантных должностей гражданской службы и включение в кадровый резерв с учетом особенностей профессиональной служебной деятельности в Росздравнадзоре</w:t>
            </w:r>
            <w:r>
              <w:rPr>
                <w:sz w:val="26"/>
                <w:szCs w:val="26"/>
                <w:lang w:val="ru-RU"/>
              </w:rPr>
              <w:t>;</w:t>
            </w:r>
          </w:p>
          <w:p>
            <w:pPr>
              <w:ind w:left="516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оценки с учетом модели компетенций квалификации и профессиональных качеств кандидатов на замещение должностей государственной службы, применяемой в ходе процедур отбора;</w:t>
            </w:r>
          </w:p>
          <w:p>
            <w:pPr>
              <w:ind w:left="517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- оценки с учетом модели компетенций эффективности и результативности профессиональной служебной деятельности, квалификации, профессиональных качеств государственных служащих (включая </w:t>
            </w:r>
            <w:r>
              <w:rPr>
                <w:rStyle w:val="FontStyle14"/>
                <w:lang w:val="ru-RU"/>
              </w:rPr>
              <w:t>механизм оценки соответствия специальности (направления подготовки), знаний и умений претендентов квалификационным требованиям для замещения должностей гражданской службы с использованием информационно-коммуникационных технологий)</w:t>
            </w:r>
            <w:r>
              <w:rPr>
                <w:sz w:val="26"/>
                <w:szCs w:val="26"/>
                <w:lang w:val="ru-RU"/>
              </w:rPr>
              <w:t>;</w:t>
            </w:r>
          </w:p>
          <w:p>
            <w:pPr>
              <w:ind w:left="517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профессионального развития компетенций государственных служащих, учитывающих новые подходы к его организации;</w:t>
            </w:r>
          </w:p>
          <w:p>
            <w:pPr>
              <w:ind w:left="517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материальной и нематериальной мотивации, в том числе способствующей должностному росту государственных служащих, применению механизмов «кадрового лифта», карьерных траекторий и подходов к осуществлению материального стимулирования и поощрения;</w:t>
            </w:r>
          </w:p>
          <w:p>
            <w:pPr>
              <w:ind w:left="517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внедрения профессиональной культуры государственных служащих Росздравнадзора.</w:t>
            </w:r>
          </w:p>
          <w:p>
            <w:pPr>
              <w:tabs>
                <w:tab w:val="left" w:pos="0"/>
                <w:tab w:val="left" w:pos="262"/>
              </w:tabs>
              <w:ind w:firstLine="426"/>
              <w:jc w:val="both"/>
              <w:rPr>
                <w:rFonts w:eastAsia="Times"/>
                <w:sz w:val="26"/>
                <w:szCs w:val="26"/>
                <w:lang w:val="ru-RU"/>
              </w:rPr>
            </w:pPr>
            <w:r>
              <w:rPr>
                <w:rFonts w:eastAsia="Times"/>
                <w:sz w:val="26"/>
                <w:szCs w:val="26"/>
                <w:lang w:val="ru-RU"/>
              </w:rPr>
              <w:t>В ходе реализации стандартов кадрового менеджмента будут разработаны модели компетенций - детализированные квалификационные требования для замещения должностей гражданской службы. В результате чего буду внедрены более точные оценочные инструменты для проверки соответствия претендентов квалификационным требованиям (оценка квалификации) в ходе конкурсов на замещение вакантной должности и в кадровый резерв, а также аттестации. В результате будет расширена конкуренция претендентов на замещение вакантных должностей и повышена объективность условий «социального лифта» на гражданской службе.</w:t>
            </w:r>
          </w:p>
          <w:p>
            <w:pPr>
              <w:tabs>
                <w:tab w:val="left" w:pos="0"/>
                <w:tab w:val="left" w:pos="262"/>
              </w:tabs>
              <w:ind w:firstLine="426"/>
              <w:jc w:val="both"/>
              <w:rPr>
                <w:rFonts w:eastAsia="Times"/>
                <w:sz w:val="26"/>
                <w:szCs w:val="26"/>
                <w:lang w:val="ru-RU"/>
              </w:rPr>
            </w:pPr>
            <w:r>
              <w:rPr>
                <w:rFonts w:eastAsia="Times"/>
                <w:sz w:val="26"/>
                <w:szCs w:val="26"/>
                <w:lang w:val="ru-RU"/>
              </w:rPr>
              <w:lastRenderedPageBreak/>
              <w:t xml:space="preserve">Будет внедрен механизм ежегодной (текущей) оценки эффективности и результативности профессиональной служебной деятельности гражданских служащих, с учетом результатов которой будут приниматься решения о проведении аттестации. </w:t>
            </w:r>
          </w:p>
          <w:p>
            <w:pPr>
              <w:tabs>
                <w:tab w:val="left" w:pos="0"/>
                <w:tab w:val="left" w:pos="262"/>
              </w:tabs>
              <w:ind w:firstLine="426"/>
              <w:jc w:val="both"/>
              <w:rPr>
                <w:rFonts w:eastAsia="Times"/>
                <w:sz w:val="26"/>
                <w:szCs w:val="26"/>
                <w:lang w:val="ru-RU"/>
              </w:rPr>
            </w:pPr>
            <w:r>
              <w:rPr>
                <w:rFonts w:eastAsia="Times"/>
                <w:sz w:val="26"/>
                <w:szCs w:val="26"/>
                <w:lang w:val="ru-RU"/>
              </w:rPr>
              <w:t>Кроме того, будет усовершенствована организационная структура Росздравнадзора, в части усиления кадрового состава аналитических подразделений, занимающихся прогнозированием рисков.</w:t>
            </w:r>
          </w:p>
          <w:p>
            <w:pPr>
              <w:tabs>
                <w:tab w:val="left" w:pos="0"/>
                <w:tab w:val="left" w:pos="262"/>
              </w:tabs>
              <w:ind w:firstLine="426"/>
              <w:jc w:val="both"/>
              <w:rPr>
                <w:rFonts w:eastAsia="Times"/>
                <w:sz w:val="26"/>
                <w:szCs w:val="26"/>
                <w:lang w:val="ru-RU"/>
              </w:rPr>
            </w:pPr>
            <w:r>
              <w:rPr>
                <w:rFonts w:eastAsia="Times"/>
                <w:sz w:val="26"/>
                <w:szCs w:val="26"/>
                <w:lang w:val="ru-RU"/>
              </w:rPr>
              <w:t xml:space="preserve">Одновременно, будет реализован комплекс обучающих и методических мероприятий для руководителей территориальных органов Росздравнадзора и инспекторского состава по вопросам применения риск-ориентированного подхода и развития </w:t>
            </w:r>
            <w:r>
              <w:rPr>
                <w:sz w:val="26"/>
                <w:szCs w:val="26"/>
                <w:lang w:val="ru-RU"/>
              </w:rPr>
              <w:t>профессиональной культуры</w:t>
            </w:r>
            <w:r>
              <w:rPr>
                <w:rFonts w:eastAsia="Times"/>
                <w:sz w:val="26"/>
                <w:szCs w:val="26"/>
                <w:lang w:val="ru-RU"/>
              </w:rPr>
              <w:t>.</w:t>
            </w:r>
          </w:p>
          <w:p>
            <w:pPr>
              <w:tabs>
                <w:tab w:val="left" w:pos="0"/>
                <w:tab w:val="left" w:pos="262"/>
              </w:tabs>
              <w:ind w:firstLine="426"/>
              <w:jc w:val="both"/>
              <w:rPr>
                <w:rFonts w:eastAsia="Times"/>
                <w:sz w:val="26"/>
                <w:szCs w:val="26"/>
                <w:lang w:val="ru-RU"/>
              </w:rPr>
            </w:pPr>
            <w:r>
              <w:rPr>
                <w:rFonts w:eastAsia="Times"/>
                <w:sz w:val="26"/>
                <w:szCs w:val="26"/>
                <w:lang w:val="ru-RU"/>
              </w:rPr>
              <w:t xml:space="preserve">Будет разработана и внедрена система мотивации сотрудников. В этих целях будет организовано проведение конкурсов на лучшего инспектора Росздравнадзора. </w:t>
            </w:r>
          </w:p>
          <w:p>
            <w:pPr>
              <w:tabs>
                <w:tab w:val="left" w:pos="0"/>
                <w:tab w:val="left" w:pos="262"/>
              </w:tabs>
              <w:ind w:firstLine="426"/>
              <w:jc w:val="both"/>
              <w:rPr>
                <w:rFonts w:eastAsia="Times"/>
                <w:sz w:val="26"/>
                <w:szCs w:val="26"/>
                <w:lang w:val="ru-RU"/>
              </w:rPr>
            </w:pPr>
            <w:r>
              <w:rPr>
                <w:rFonts w:eastAsia="Times"/>
                <w:sz w:val="26"/>
                <w:szCs w:val="26"/>
                <w:lang w:val="ru-RU"/>
              </w:rPr>
              <w:t>Победители этих конкурсов примут участие во Всероссийском конкурсе «Лучший инспектор риск-ориентированной системы контрольно-надзорной деятельности».</w:t>
            </w:r>
          </w:p>
          <w:p>
            <w:pPr>
              <w:tabs>
                <w:tab w:val="left" w:pos="262"/>
              </w:tabs>
              <w:ind w:firstLine="426"/>
              <w:contextualSpacing/>
              <w:jc w:val="both"/>
              <w:rPr>
                <w:rFonts w:eastAsia="Times"/>
                <w:sz w:val="26"/>
                <w:szCs w:val="26"/>
                <w:lang w:val="ru-RU"/>
              </w:rPr>
            </w:pPr>
            <w:r>
              <w:rPr>
                <w:rFonts w:eastAsia="Times"/>
                <w:sz w:val="26"/>
                <w:szCs w:val="26"/>
                <w:lang w:val="ru-RU"/>
              </w:rPr>
              <w:t>Будет внедрена новая система оплаты труда, направленная на повышение мотивации к результативной и эффективной деятельности, а также централизованная комплексная система повышения квалификации и аттестации с учетом области и вида профессиональной служебной деятельности гражданских служащих Росздравнадзора, осуществляющих контрольно-надзорные функции.</w:t>
            </w:r>
          </w:p>
          <w:p>
            <w:pPr>
              <w:jc w:val="both"/>
              <w:rPr>
                <w:rFonts w:eastAsia="Calibri"/>
                <w:b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Calibri"/>
                <w:b/>
                <w:sz w:val="26"/>
                <w:szCs w:val="26"/>
                <w:lang w:val="ru-RU"/>
              </w:rPr>
            </w:pPr>
            <w:r>
              <w:rPr>
                <w:rFonts w:eastAsia="Calibri"/>
                <w:b/>
                <w:sz w:val="26"/>
                <w:szCs w:val="26"/>
                <w:lang w:val="ru-RU"/>
              </w:rPr>
              <w:t xml:space="preserve">6. Внедрение системы предупреждения и комплексной профилактики коррупционных проявлений в контрольно-надзорной деятельности Росздравнадзора 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b/>
                <w:sz w:val="26"/>
                <w:szCs w:val="26"/>
                <w:lang w:val="ru-RU"/>
              </w:rPr>
              <w:t>по контролируемым видам деятельности в сфере здравоохранения:</w:t>
            </w:r>
          </w:p>
          <w:p>
            <w:pPr>
              <w:tabs>
                <w:tab w:val="left" w:pos="262"/>
              </w:tabs>
              <w:ind w:firstLine="426"/>
              <w:jc w:val="both"/>
              <w:rPr>
                <w:rFonts w:eastAsia="Times"/>
                <w:sz w:val="26"/>
                <w:szCs w:val="26"/>
                <w:lang w:val="ru-RU"/>
              </w:rPr>
            </w:pPr>
            <w:r>
              <w:rPr>
                <w:rFonts w:eastAsia="Times"/>
                <w:sz w:val="26"/>
                <w:szCs w:val="26"/>
                <w:lang w:val="ru-RU"/>
              </w:rPr>
              <w:t>Основой антикоррупционной работы в Росздравнадзоре будут являться разработанные  карты коррупционных рисков.</w:t>
            </w:r>
          </w:p>
          <w:p>
            <w:pPr>
              <w:pStyle w:val="a7"/>
              <w:tabs>
                <w:tab w:val="left" w:pos="262"/>
              </w:tabs>
              <w:ind w:left="0" w:firstLine="469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Предусматриваемый к реализации комплекс правовых и организационных </w:t>
            </w:r>
            <w:r>
              <w:rPr>
                <w:rFonts w:eastAsia="Arial Unicode MS"/>
                <w:sz w:val="26"/>
                <w:szCs w:val="26"/>
                <w:lang w:val="ru-RU"/>
              </w:rPr>
              <w:t>мер по минимизации коррупционных рисков</w:t>
            </w:r>
            <w:r>
              <w:rPr>
                <w:sz w:val="26"/>
                <w:szCs w:val="26"/>
                <w:lang w:val="ru-RU"/>
              </w:rPr>
              <w:t xml:space="preserve"> будет включать в себя мероприятия, направленные на четкую и понятную регламентацию процедур, а также на расширение использования инструментов внешнего и внутреннего контроля за деятельностью должностных лиц, участвующих в осуществлении контрольно-надзорных полномочий на разных уровнях принятия управленческих решений.</w:t>
            </w:r>
          </w:p>
          <w:p>
            <w:pPr>
              <w:ind w:firstLine="469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Реализация данного проекта будет способствовать повышению уровня доверия между Росздравнадзором, предпринимателями, обществом в целом, позволяющему сформировать инвестиционную привлекательность  в сфере медицинских и фармацевтических услуг, производства и реализации медицинских изделий.</w:t>
            </w:r>
          </w:p>
          <w:p>
            <w:pPr>
              <w:ind w:firstLine="469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Мероприятия по ротации </w:t>
            </w:r>
            <w:r>
              <w:rPr>
                <w:rFonts w:eastAsia="Arial Unicode MS"/>
                <w:sz w:val="26"/>
                <w:szCs w:val="26"/>
                <w:lang w:val="ru-RU"/>
              </w:rPr>
              <w:t xml:space="preserve">федеральных государственных гражданских служащих с учетом карты коррупционных рисков призваны минимизировать риски, связанные с длительным замещением одной </w:t>
            </w:r>
            <w:r>
              <w:rPr>
                <w:rFonts w:eastAsia="Arial Unicode MS"/>
                <w:sz w:val="26"/>
                <w:szCs w:val="26"/>
                <w:lang w:val="ru-RU"/>
              </w:rPr>
              <w:lastRenderedPageBreak/>
              <w:t>должности государственной гражданской службы.</w:t>
            </w:r>
          </w:p>
          <w:p>
            <w:pPr>
              <w:ind w:firstLine="469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Проведение обучающих и методических мероприятий по антикоррупционной тематике будут способствовать формированию у инспекторского состава Росздравнадзора нетерпимого отношения к проявлениям коррупции, а также соблюдению этических требований к служебному поведению.</w:t>
            </w:r>
          </w:p>
          <w:p>
            <w:pPr>
              <w:ind w:firstLine="469"/>
              <w:jc w:val="both"/>
              <w:rPr>
                <w:rFonts w:eastAsia="Calibri"/>
                <w:b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Реализация фото-, видео- и аудиозаписи проведения выездной проверки, позволит с одной стороны - минимизировать коррупционные риски, а с другой, - подтвердить результаты (выявленные нарушения соблюдения обязательных требований) выездной проверки, зафиксированные в соответствующем акте проверки.</w:t>
            </w:r>
          </w:p>
          <w:p>
            <w:pPr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</w:p>
          <w:p>
            <w:pPr>
              <w:jc w:val="both"/>
              <w:rPr>
                <w:rFonts w:eastAsia="Arial Unicode MS"/>
                <w:b/>
                <w:sz w:val="26"/>
                <w:szCs w:val="26"/>
                <w:lang w:val="ru-RU"/>
              </w:rPr>
            </w:pPr>
            <w:r>
              <w:rPr>
                <w:rFonts w:eastAsia="Arial Unicode MS"/>
                <w:b/>
                <w:sz w:val="26"/>
                <w:szCs w:val="26"/>
                <w:lang w:val="ru-RU"/>
              </w:rPr>
              <w:t>7. Создание и внедрение комплексной модели информационного обеспечения и систем автоматизации контрольно-надзорной деятельности в сфере здравоохранения: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 применение Стандарта информатизации КНД в АИС Росздравнадзора позволит создать и использовать для планирования контрольно-надзорных мероприятий исчерпывающий реестр проверяемых объектов;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реализованный в АИС Росздравнадзора механизм сбора, учета и аналитической обработки показателей (индикаторов) позволит определять категории риска проверяемых объектов, в том числе, на основе межведомственного взаимодействия с использованием единой системы межведомственного электронного взаимодействия (СМЭВ) в автоматизированном режиме;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совершенствование АИС Росздравнадзора и использование СМЭВ позволит исключить ручной ввод сведений о проверяемых субъектах (объектах);</w:t>
            </w:r>
          </w:p>
          <w:p>
            <w:pPr>
              <w:jc w:val="both"/>
              <w:rPr>
                <w:rFonts w:eastAsia="Calibri"/>
                <w:sz w:val="26"/>
                <w:szCs w:val="26"/>
                <w:highlight w:val="yellow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АИС Росздравнадзора обеспечит представление сведений в электронном виде с использованием СМЭВ в ЕРП и ГАСУ учетных данных о проверках, а так же сведений о контрольно-надзорных мероприятиях (далее – КНМ) и отчетности по показателям результативности и эффективности деятельности Росздравнадзора, с учетом требований к целостности и достоверности передаваемых данных;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внедрение в АИС Росздравнадзора алгоритмов расчета показателей результативности и эффективности КНМ на основании Базовой модели Минэкономразвития России позволит в автоматизированном режиме отправлять данные расчета и первичные данные о проведенных КНМ в ГАС «Управление» с использованием СМЭВ;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реализация использования в АИС Росздравнадзора Проверочных листов на базе перечней ОТ к поднадзорным объектам позволит заполнять проверочные листы инспектором, либо самим поднадзорным субъектом в "Личном кабинете";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– на основании результатов самообследования в «Личном кабинете» проверяемого лица на ЕПГУ путем анкетирования по видам деятельности проверяемых субъектов в информационных системах Росздравнадзора дает возможность проводить актуализацию данных реестров объектов, присвоенных им классов опасности и </w:t>
            </w:r>
            <w:r>
              <w:rPr>
                <w:rFonts w:eastAsia="Calibri"/>
                <w:sz w:val="26"/>
                <w:szCs w:val="26"/>
                <w:lang w:val="ru-RU"/>
              </w:rPr>
              <w:lastRenderedPageBreak/>
              <w:t>категорий рисков;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 в Росздравнадзоре утверждены и используются электронные декларации и проверочные листы по всем видам контроля (надзора), в том числе в электронном виде в "Личном кабинете" проверяемого лица на ЕПГУ;</w:t>
            </w:r>
          </w:p>
          <w:p>
            <w:pPr>
              <w:jc w:val="both"/>
              <w:rPr>
                <w:rFonts w:eastAsia="Arial Unicode MS"/>
                <w:b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–в Росздравнадзоре внедрен механизм обучения (в т.ч. самообучения) подконтрольных лиц, в том числе с использованием "Личного кабинета" проверяемого лица на ЕПГУ.</w:t>
            </w:r>
          </w:p>
          <w:p>
            <w:pPr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</w:p>
        </w:tc>
      </w:tr>
    </w:tbl>
    <w:p>
      <w:pPr>
        <w:rPr>
          <w:rFonts w:eastAsia="Arial Unicode MS"/>
          <w:b/>
          <w:sz w:val="26"/>
          <w:szCs w:val="26"/>
          <w:lang w:val="ru-RU"/>
        </w:rPr>
      </w:pPr>
    </w:p>
    <w:p>
      <w:pPr>
        <w:rPr>
          <w:rFonts w:eastAsia="Arial Unicode MS"/>
          <w:b/>
          <w:sz w:val="26"/>
          <w:szCs w:val="26"/>
          <w:lang w:val="ru-RU"/>
        </w:rPr>
      </w:pPr>
    </w:p>
    <w:p>
      <w:pPr>
        <w:shd w:val="clear" w:color="auto" w:fill="FFFFFF"/>
        <w:rPr>
          <w:rFonts w:eastAsia="Arial Unicode MS"/>
          <w:b/>
          <w:sz w:val="26"/>
          <w:szCs w:val="26"/>
          <w:lang w:val="ru-RU"/>
        </w:rPr>
      </w:pPr>
    </w:p>
    <w:p>
      <w:pPr>
        <w:shd w:val="clear" w:color="auto" w:fill="FFFFFF"/>
        <w:ind w:left="5405"/>
        <w:rPr>
          <w:sz w:val="28"/>
          <w:szCs w:val="28"/>
          <w:lang w:val="ru-RU"/>
        </w:rPr>
      </w:pPr>
      <w:r>
        <w:rPr>
          <w:rFonts w:eastAsia="Arial Unicode MS"/>
          <w:b/>
          <w:sz w:val="26"/>
          <w:szCs w:val="26"/>
          <w:lang w:val="ru-RU"/>
        </w:rPr>
        <w:t>3.  ЭТАПЫ И КОНТРОЛЬНЫЕ ТОЧКИ ПРОЕКТА</w:t>
      </w:r>
    </w:p>
    <w:p>
      <w:pPr>
        <w:spacing w:after="192" w:line="1" w:lineRule="exact"/>
        <w:rPr>
          <w:sz w:val="2"/>
          <w:szCs w:val="2"/>
          <w:lang w:val="ru-RU"/>
        </w:rPr>
      </w:pPr>
    </w:p>
    <w:tbl>
      <w:tblPr>
        <w:tblpPr w:leftFromText="180" w:rightFromText="180" w:vertAnchor="text" w:tblpX="-92" w:tblpY="1"/>
        <w:tblOverlap w:val="never"/>
        <w:tblW w:w="158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5"/>
        <w:gridCol w:w="385"/>
        <w:gridCol w:w="5002"/>
        <w:gridCol w:w="2976"/>
        <w:gridCol w:w="2388"/>
        <w:gridCol w:w="1723"/>
        <w:gridCol w:w="2268"/>
      </w:tblGrid>
      <w:tr>
        <w:trPr>
          <w:trHeight w:hRule="exact" w:val="1248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307" w:lineRule="exact"/>
              <w:ind w:right="82" w:firstLine="82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1022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</w:rPr>
              <w:t>этапа, контрольной точки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302" w:lineRule="exact"/>
              <w:ind w:left="38" w:right="38"/>
              <w:jc w:val="center"/>
              <w:rPr>
                <w:b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Тип (завершение этапа/контрольная точка результата/контрольная точка показателя)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Срок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Результаты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Ответственные лица</w:t>
            </w:r>
          </w:p>
        </w:tc>
      </w:tr>
      <w:tr>
        <w:trPr>
          <w:trHeight w:hRule="exact" w:val="336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firstLine="82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53"/>
              <w:jc w:val="both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Утверждение паспорта приоритетного проекта Росздравнадзора                                                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</w:pPr>
            <w:r>
              <w:rPr>
                <w:sz w:val="26"/>
                <w:szCs w:val="26"/>
                <w:lang w:val="ru-RU"/>
              </w:rPr>
              <w:t>01.03.2017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М.А. Мурашко </w:t>
            </w:r>
          </w:p>
        </w:tc>
      </w:tr>
      <w:tr>
        <w:trPr>
          <w:trHeight w:hRule="exact" w:val="1258"/>
        </w:trPr>
        <w:tc>
          <w:tcPr>
            <w:tcW w:w="158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ind w:firstLine="82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val="ru-RU"/>
              </w:rPr>
              <w:t>Внедрение риск-ориентированного подхода при осуществлении контрольно-надзорной деятельности</w:t>
            </w:r>
          </w:p>
          <w:p>
            <w:pPr>
              <w:shd w:val="clear" w:color="auto" w:fill="FFFFFF"/>
              <w:ind w:firstLine="82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Ответственные исполнители:  Д.В. Пархоменко,  И.В. Крупнова</w:t>
            </w:r>
          </w:p>
          <w:p>
            <w:pPr>
              <w:shd w:val="clear" w:color="auto" w:fill="FFFFFF"/>
              <w:ind w:firstLine="82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Cs/>
                <w:lang w:val="ru-RU"/>
              </w:rPr>
              <w:t xml:space="preserve"> Соисполнитель:  И.А. Гуськова </w:t>
            </w:r>
          </w:p>
        </w:tc>
      </w:tr>
      <w:tr>
        <w:trPr>
          <w:trHeight w:hRule="exact" w:val="566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Этап </w:t>
            </w:r>
            <w:r>
              <w:rPr>
                <w:sz w:val="26"/>
                <w:szCs w:val="26"/>
              </w:rPr>
              <w:t xml:space="preserve">I </w:t>
            </w:r>
            <w:r>
              <w:rPr>
                <w:sz w:val="26"/>
                <w:szCs w:val="26"/>
                <w:lang w:val="ru-RU"/>
              </w:rPr>
              <w:t xml:space="preserve"> (2017 г.)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4394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Формирование исчерпывающих реестров подконтрольных объектов, лицензиатов:</w:t>
            </w:r>
          </w:p>
          <w:p>
            <w:pPr>
              <w:ind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</w:t>
            </w:r>
            <w:r>
              <w:rPr>
                <w:rFonts w:eastAsia="Calibri"/>
                <w:sz w:val="26"/>
                <w:szCs w:val="26"/>
                <w:lang w:val="ru-RU"/>
              </w:rPr>
              <w:tab/>
              <w:t>организации, осуществляющие медицинскую деятельность;</w:t>
            </w:r>
          </w:p>
          <w:p>
            <w:pPr>
              <w:ind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</w:t>
            </w:r>
            <w:r>
              <w:rPr>
                <w:rFonts w:eastAsia="Calibri"/>
                <w:sz w:val="26"/>
                <w:szCs w:val="26"/>
                <w:lang w:val="ru-RU"/>
              </w:rPr>
              <w:tab/>
              <w:t xml:space="preserve"> организации, осуществляющие оптовую торговлю лекарственными средствами;  розничную торговлю лекарственными препаратами, производство лекарственных средств,  оборот наркотических средств, психотропных веществ и их прекурсоров и культивирование наркосодержащих растений</w:t>
            </w:r>
          </w:p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- организации, осуществляющие производство, техническое обслуживание,   оборот медицинских изделий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24.03.2017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Е.М. Астапенко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Крупнова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2284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Утверждены методические рекомендации по классификации  подконтрольных объектов, осуществляющих деятельность в сфере здравоохранения, по категориям риска причинения вреда жизни и здоровью граждан для организации плановых контрольных мероприятий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17.03.2017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Е.М. Астапенко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Иванов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Крупнова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1565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Установлены категории риска и критерии отнесения к ним подконтрольных объектов с использованием АИС Росздравнадзора по видам контроля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21.04.2017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Е.М. Астапенко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Иванов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Крупнова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3124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Распределение объектов контроля, осуществляющих деятельность в сфере здравоохранения</w:t>
            </w:r>
            <w:r>
              <w:rPr>
                <w:lang w:val="ru-RU"/>
              </w:rPr>
              <w:t xml:space="preserve"> (</w:t>
            </w:r>
            <w:r>
              <w:rPr>
                <w:rFonts w:eastAsia="Calibri"/>
                <w:sz w:val="26"/>
                <w:szCs w:val="26"/>
                <w:lang w:val="ru-RU"/>
              </w:rPr>
              <w:t>по видам контроля)  по категориям рисков.</w:t>
            </w:r>
          </w:p>
          <w:p>
            <w:pPr>
              <w:ind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Сформированы исчерпывающие реестры подконтрольных объектов, с использованием АИС Росздравнадзора, внедрена система поддержания реестров в актуальном состоянии</w:t>
            </w:r>
          </w:p>
          <w:p>
            <w:pPr>
              <w:ind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Установлены критерии риска и критерии отнесения к ним объектов.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31.07.2017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Е.М. Астапенко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Иванов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Крупнова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1848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51"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Обеспечена доступность и понятность информации для  подконтрольных объектов, осуществляющих деятельность в сфере здравоохранения, об присвоенных им категориям риска и критерия отнесения к ним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31.07.2017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Е.М. Астапенко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Иванов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Крупнова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2118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51"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Ежегодный план проверок юридических лиц и индивидуальных предпринимателей, осуществляющих деятельность в сфере здравоохранения на 2018 год сформирован</w:t>
            </w:r>
            <w:r>
              <w:rPr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по видам контроля  на основе риск-ориентированного подхода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контрольная точка показателя </w:t>
            </w:r>
          </w:p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(завершение 1 этапа)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Е.М. Астапенко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Крупнова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3985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51"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По всем видам контроля, отнесенным к полномочиям Росздравнадзора утверждены индикаторы рисков (для внеплановых проверок) и показатели для внедрения «динамической модели» и сформирована система сбора объективных данных, позволяющая вести учет причиненного вреда и характеристик поведения подконтрольных субъектов</w:t>
            </w:r>
          </w:p>
          <w:p>
            <w:pPr>
              <w:shd w:val="clear" w:color="auto" w:fill="FFFFFF"/>
              <w:ind w:right="51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Разрабатываются межведомственные карты рисков.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31.09.2017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Е.М. Астапенко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Иванов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Крупнова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483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51"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Этап I</w:t>
            </w:r>
            <w:r>
              <w:rPr>
                <w:rFonts w:eastAsia="Calibri"/>
                <w:sz w:val="26"/>
                <w:szCs w:val="26"/>
              </w:rPr>
              <w:t>I</w:t>
            </w:r>
            <w:r>
              <w:rPr>
                <w:rFonts w:eastAsia="Calibri"/>
                <w:sz w:val="26"/>
                <w:szCs w:val="26"/>
                <w:lang w:val="ru-RU"/>
              </w:rPr>
              <w:t xml:space="preserve"> (201</w:t>
            </w:r>
            <w:r>
              <w:rPr>
                <w:rFonts w:eastAsia="Calibri"/>
                <w:sz w:val="26"/>
                <w:szCs w:val="26"/>
              </w:rPr>
              <w:t>8</w:t>
            </w:r>
            <w:r>
              <w:rPr>
                <w:rFonts w:eastAsia="Calibri"/>
                <w:sz w:val="26"/>
                <w:szCs w:val="26"/>
                <w:lang w:val="ru-RU"/>
              </w:rPr>
              <w:t xml:space="preserve"> г.)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1544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51"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Внедрены межведомственные карты рисков, проводятся международные сопоставления эффективности систем управления рисками (достигнут 4-й уровень зрелости)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Е.М. Астапенко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Иванов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Крупнова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2839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ind w:firstLine="82"/>
              <w:jc w:val="both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Реализованы механизмы сбора, учета и аналитической обработки показателей (индикаторов) для определения категорий риска юридических лиц и индивидуальных предпринимателей, осуществляющих деятельность в сфере здравоохранения, в том числе на основе межведомственного взаимодействия с использованием СМЭВ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7"/>
              <w:spacing w:line="209" w:lineRule="auto"/>
              <w:ind w:left="19"/>
              <w:jc w:val="center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 xml:space="preserve">контрольная точка результата 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7"/>
              <w:spacing w:line="209" w:lineRule="auto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31.07.2018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09" w:lineRule="auto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Е.М. Астапенко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Иванов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Крупнова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  <w:p>
            <w:pPr>
              <w:pStyle w:val="a7"/>
              <w:spacing w:line="209" w:lineRule="auto"/>
              <w:ind w:left="0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2128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ind w:firstLine="82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Исключен ручной ввод сведений о юридических лицах и индивидуальных предпринимателях, осуществляющих деятельность в сфере здравоохранения (об объектах), если сведения возможно получить в электронном виде с использованием СМЭВ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7"/>
              <w:spacing w:line="209" w:lineRule="auto"/>
              <w:ind w:left="19"/>
              <w:jc w:val="center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 xml:space="preserve">контрольная точка результата 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7"/>
              <w:spacing w:line="209" w:lineRule="auto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31.07.2018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09" w:lineRule="auto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Е.М. Астапенко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Крупнова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  <w:p>
            <w:pPr>
              <w:pStyle w:val="a7"/>
              <w:spacing w:line="209" w:lineRule="auto"/>
              <w:ind w:left="0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2555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 всем видам контроля:</w:t>
            </w:r>
          </w:p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- сформирована система сбора объективных данных, позволяющая вести учет причиненного вреда в автоматическом режиме, </w:t>
            </w:r>
          </w:p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внедрена модель актуализации индикаторов риска и показателей для "динамической модели" в зависимости от изменений профилей риска (достигнут 2-й уровень зрелости)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lang w:val="ru-RU"/>
              </w:rPr>
            </w:pPr>
            <w:r>
              <w:rPr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lang w:val="ru-RU"/>
              </w:rPr>
            </w:pPr>
            <w:r>
              <w:rPr>
                <w:lang w:val="ru-RU"/>
              </w:rPr>
              <w:t>31.07.2018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Е.М. Астапенко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Крупнова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  <w:p>
            <w:pPr>
              <w:shd w:val="clear" w:color="auto" w:fill="FFFFFF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1918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 всем видам контроля утверждены индикаторы рисков (для внеплановых проверок) и показатели для внедрения «динамической модели».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59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30.06.2018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59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Е.М. Астапенко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Иванов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Крупнова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  <w:p>
            <w:pPr>
              <w:shd w:val="clear" w:color="auto" w:fill="FFFFFF"/>
              <w:ind w:right="259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2836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highlight w:val="yellow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 10% видов контроля (надзора) на регулярной основе  переоцениваются риски в зависимости от фактического распределения ущерба по категориям риска (классам опасности), в том числе с использованием массивов больших данных (Big Data), с учетом рекомендаций ОЭСР (достигнут 3-й уровень зрелости)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59"/>
              <w:jc w:val="right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59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Е.М. Астапенко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Иванов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Крупнова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  <w:p>
            <w:pPr>
              <w:shd w:val="clear" w:color="auto" w:fill="FFFFFF"/>
              <w:ind w:right="259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2143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Ежегодный план проверок юридических лиц и индивидуальных предпринимателей, осуществляющих деятельность в сфере здравоохранения на 2019 год сформирован на основе риск-ориентированного подхода по всем видам контроля, относящихся к компетенции Росздравнадзора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59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59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Е.М. Астапенко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Крупнова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  <w:p>
            <w:pPr>
              <w:shd w:val="clear" w:color="auto" w:fill="FFFFFF"/>
              <w:ind w:right="259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415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Этап II</w:t>
            </w:r>
            <w:r>
              <w:rPr>
                <w:sz w:val="26"/>
                <w:szCs w:val="26"/>
              </w:rPr>
              <w:t>I</w:t>
            </w:r>
            <w:r>
              <w:rPr>
                <w:sz w:val="26"/>
                <w:szCs w:val="26"/>
                <w:lang w:val="ru-RU"/>
              </w:rPr>
              <w:t xml:space="preserve"> (2019 -2025 гг.)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59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59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2544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 75% видов контроля (надзора) на регулярной основе переоцениваются риски в зависимости от фактического распределения ущерба по категориям риска (классам опасности), в том числе с использованием массивов больших данных (Big Data), с учетом рекомендаций ОЭСР (достигнут 3-й уровень зрелости)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59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59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Е.М. Астапенко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Иванов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Крупнова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1717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 10% видов контроля (надзора) внедрены межведомственные карты рисков, проводятся международные сопоставления эффективности систем управления рисками (достигнут 4-й уровень зрелости)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59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59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Е.М. Астапенко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Крупнова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2426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 всем видам контроля (надзора) на регулярной основе переоцениваются риски в зависимости от фактического ущерба по категориям риска (класса опасности), в том числе</w:t>
            </w:r>
            <w:r>
              <w:rPr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с использованием массивов больших данных (Big Data), с учетом рекомендаций ОЭСР (достигнут 3-й уровень зрелости)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59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31.07.2020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59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Е.М. Астапенко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Крупнова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3277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Работает система "умного" государственного регулирования, позволяющая на основе мониторинга и анализа результатов применения риск-ориентированного подхода формировать и корректировать показатели и мероприятия документов стратегического планирования, осуществлять выбор форм государственного регулирования, устанавливать обязательные требования, принимать управленческие решения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  <w:r>
              <w:rPr>
                <w:sz w:val="26"/>
                <w:szCs w:val="26"/>
                <w:lang w:val="ru-RU"/>
              </w:rPr>
              <w:tab/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59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30.09.2025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59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Е.М. Астапенко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Крупнова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  <w:p>
            <w:pPr>
              <w:shd w:val="clear" w:color="auto" w:fill="FFFFFF"/>
              <w:ind w:right="259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1709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 75% видов контроля (надзора) внедрены межведомственные карты рисков, проводятся международные сопоставления эффективности систем управления рисками (достигнут 4-й уровень зрелости)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  <w:r>
              <w:rPr>
                <w:sz w:val="26"/>
                <w:szCs w:val="26"/>
                <w:lang w:val="ru-RU"/>
              </w:rPr>
              <w:tab/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59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30.11.2020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59"/>
              <w:jc w:val="right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Е.М. Астапенко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И.В. Крупнова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1292"/>
        </w:trPr>
        <w:tc>
          <w:tcPr>
            <w:tcW w:w="158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>
            <w:pPr>
              <w:pStyle w:val="a7"/>
              <w:shd w:val="clear" w:color="auto" w:fill="FFFFFF"/>
              <w:ind w:left="0" w:firstLine="82"/>
              <w:jc w:val="center"/>
              <w:rPr>
                <w:b/>
                <w:bCs/>
                <w:sz w:val="26"/>
                <w:szCs w:val="26"/>
                <w:lang w:val="ru-RU"/>
              </w:rPr>
            </w:pPr>
          </w:p>
          <w:p>
            <w:pPr>
              <w:pStyle w:val="a7"/>
              <w:shd w:val="clear" w:color="auto" w:fill="FFFFFF"/>
              <w:ind w:left="0" w:firstLine="82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val="ru-RU"/>
              </w:rPr>
              <w:t>Создание системы оценки результативности и эффективности контрольно-надзорной деятельности</w:t>
            </w:r>
          </w:p>
          <w:p>
            <w:pPr>
              <w:pStyle w:val="a7"/>
              <w:shd w:val="clear" w:color="auto" w:fill="FFFFFF"/>
              <w:ind w:left="0" w:firstLine="82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Ответственные исполнители: Д.Ю. Павлюков,  Е.М. Астапенко</w:t>
            </w:r>
          </w:p>
          <w:p>
            <w:pPr>
              <w:pStyle w:val="a7"/>
              <w:shd w:val="clear" w:color="auto" w:fill="FFFFFF"/>
              <w:ind w:left="0" w:firstLine="82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Соисполнители:  А.А. Валеева, М.А. Мигеева</w:t>
            </w:r>
          </w:p>
          <w:p>
            <w:pPr>
              <w:pStyle w:val="a7"/>
              <w:shd w:val="clear" w:color="auto" w:fill="FFFFFF"/>
              <w:ind w:left="0" w:firstLine="82"/>
              <w:jc w:val="center"/>
              <w:rPr>
                <w:b/>
                <w:bCs/>
                <w:sz w:val="26"/>
                <w:szCs w:val="26"/>
                <w:lang w:val="ru-RU"/>
              </w:rPr>
            </w:pPr>
          </w:p>
          <w:p>
            <w:pPr>
              <w:pStyle w:val="a7"/>
              <w:shd w:val="clear" w:color="auto" w:fill="FFFFFF"/>
              <w:ind w:left="0" w:firstLine="82"/>
              <w:jc w:val="center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  <w:tr>
        <w:trPr>
          <w:trHeight w:val="571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firstLine="82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Этап </w:t>
            </w:r>
            <w:r>
              <w:rPr>
                <w:sz w:val="26"/>
                <w:szCs w:val="26"/>
              </w:rPr>
              <w:t xml:space="preserve">I </w:t>
            </w:r>
            <w:r>
              <w:rPr>
                <w:sz w:val="26"/>
                <w:szCs w:val="26"/>
                <w:lang w:val="ru-RU"/>
              </w:rPr>
              <w:t>(2017 г.)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64"/>
              <w:jc w:val="center"/>
              <w:rPr>
                <w:sz w:val="26"/>
                <w:szCs w:val="26"/>
                <w:lang w:val="ru-RU"/>
              </w:rPr>
            </w:pPr>
          </w:p>
          <w:p>
            <w:pPr>
              <w:shd w:val="clear" w:color="auto" w:fill="FFFFFF"/>
              <w:ind w:right="264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64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64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val="2513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Разработка и утверждение показателей результативности и эффективности по видам контроля (надзора):</w:t>
            </w:r>
          </w:p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утверждены перечни и значения показателей результативности и эффективности, соответствующие Базовой модели определения показателей результативности и эффективности контрольно-надзорной деятельности;</w:t>
            </w:r>
          </w:p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- определены механизмы контроля за достижением показателей результативности и </w:t>
            </w:r>
            <w:r>
              <w:rPr>
                <w:sz w:val="26"/>
                <w:szCs w:val="26"/>
                <w:lang w:val="ru-RU"/>
              </w:rPr>
              <w:lastRenderedPageBreak/>
              <w:t>эффективности;</w:t>
            </w:r>
          </w:p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-утверждены показатели результативности и эффективности для центрального аппарата и территориальных подразделений контрольно-надзорного органа;</w:t>
            </w:r>
          </w:p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обеспечена публичность и доступность показателей результативности и эффективности и их значений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64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31.10.2017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64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ind w:righ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ind w:righ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ind w:righ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4840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60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pacing w:line="209" w:lineRule="auto"/>
              <w:ind w:left="19"/>
              <w:jc w:val="both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По контролируемым видам деятельности в сфере здравоохранения проведена проверка достоверности, полноты и точности расчета показателей результативности и эффективности, уточнены формулы их расчета и источники первичных данных</w:t>
            </w:r>
          </w:p>
          <w:p>
            <w:pPr>
              <w:spacing w:line="209" w:lineRule="auto"/>
              <w:ind w:left="19"/>
              <w:jc w:val="both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Внедрены алгоритмы расчета показателей результативности и эффективности контрольных мероприятий и обеспечена готовность к предоставлению в электронном виде с использованием СМЭВ в ЕРП учетных данных о проверках, а также предоставление в ГАСУ сведений о контрольно-надзорных мероприятиях и отчетности по показателям результативности и эффективности деятельности, с учетом требований к целостности и достоверности передаваемых данных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7"/>
              <w:spacing w:line="209" w:lineRule="auto"/>
              <w:ind w:left="19"/>
              <w:jc w:val="center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7"/>
              <w:spacing w:line="209" w:lineRule="auto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31.12.2017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09" w:lineRule="auto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ind w:righ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ind w:righ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ind w:righ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pStyle w:val="a7"/>
              <w:spacing w:line="209" w:lineRule="auto"/>
              <w:ind w:left="0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2001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09" w:lineRule="auto"/>
              <w:ind w:left="19"/>
              <w:jc w:val="both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По отдельным видам контроля (надзора) проведена проверка достоверности, полноты и точности расчета показателей результативности и эффективности, уточнены формулы их расчета и источники первичных данных с использованием ведомственных информационных систем.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09" w:lineRule="auto"/>
              <w:ind w:left="19"/>
              <w:jc w:val="center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09" w:lineRule="auto"/>
              <w:ind w:left="0"/>
              <w:jc w:val="both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31.12.2017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09" w:lineRule="auto"/>
              <w:ind w:left="0"/>
              <w:jc w:val="both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ind w:right="264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ind w:right="264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ind w:right="264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ind w:right="264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725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09" w:lineRule="auto"/>
              <w:ind w:left="19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Этап II (2018 г.)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09" w:lineRule="auto"/>
              <w:ind w:left="19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09" w:lineRule="auto"/>
              <w:ind w:left="0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09" w:lineRule="auto"/>
              <w:ind w:left="0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ind w:right="264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1557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Проведена проверка достоверности, полноты и точности расчета показателей результативности и эффективности, уточнены формулы их расчета и источники первичных данных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30.04.2018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26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1836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Обеспечена автоматизация для расчета показателей результативности и эффективности данных, позволяющая анализировать указанные данные в автоматическом режиме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26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К.Г. Поспелов </w:t>
            </w:r>
          </w:p>
        </w:tc>
      </w:tr>
      <w:tr>
        <w:trPr>
          <w:trHeight w:hRule="exact" w:val="2966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 отдельным видам контроля (надзора) информация о достижении и (или) недостижении показателей результативности и эффективности является основой для принятия управленческих решений, в том числе оптимизации и совершенствования системы управления, в системах мотивации сотрудников, распределения ресурсов, планирования и проведения контрольно-надзорных мероприятий.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26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М.А. Мурашко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Е.В.Масельонес А.В. Бесараб</w:t>
            </w:r>
          </w:p>
        </w:tc>
      </w:tr>
      <w:tr>
        <w:trPr>
          <w:trHeight w:hRule="exact" w:val="2421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Утвержден паспорт показателей результативности и</w:t>
            </w:r>
            <w:r>
              <w:rPr>
                <w:i/>
                <w:iCs/>
                <w:sz w:val="26"/>
                <w:szCs w:val="26"/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эффективности контрольно-надзорной деятельности, основанной на применении показателей конечных результатов деятельности и произведена автоматизация их расчета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26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righ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ind w:righ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ind w:righ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Принятие нормативных правовых актов, ведомственных актов, обеспечивающих внедрение системы оценки результативности и эффективности  контрольно-надзорной </w:t>
            </w:r>
            <w:r>
              <w:rPr>
                <w:sz w:val="26"/>
                <w:szCs w:val="26"/>
                <w:lang w:val="ru-RU"/>
              </w:rPr>
              <w:lastRenderedPageBreak/>
              <w:t>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контрольная точка результата</w:t>
            </w:r>
          </w:p>
          <w:p>
            <w:pPr>
              <w:jc w:val="center"/>
              <w:rPr>
                <w:sz w:val="26"/>
                <w:szCs w:val="26"/>
                <w:lang w:val="ru-RU"/>
              </w:rPr>
            </w:pPr>
          </w:p>
          <w:p>
            <w:pPr>
              <w:jc w:val="center"/>
              <w:rPr>
                <w:sz w:val="26"/>
                <w:szCs w:val="26"/>
                <w:lang w:val="ru-RU"/>
              </w:rPr>
            </w:pPr>
          </w:p>
          <w:p>
            <w:pPr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ind w:left="2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30.11.2018</w:t>
            </w:r>
          </w:p>
          <w:p>
            <w:pPr>
              <w:shd w:val="clear" w:color="auto" w:fill="FFFFFF"/>
              <w:ind w:left="226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ind w:left="226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Этап III (2019-2025 гг.)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ind w:left="226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ind w:left="226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</w:p>
        </w:tc>
      </w:tr>
      <w:t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 всем видам контроля (надзора) информация о достижении и (или) недостижении показателей результативности и эффективности является основой для принятия управленческих решений, в том числе оптимизации и совершенствования системы управления, в системах мотивации сотрудников, распределения ресурсов, планирования и проведения контрольно-надзорных мероприятий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ind w:left="2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30.11..2019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ind w:left="226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М.А. Мурашко</w:t>
            </w:r>
          </w:p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Е.В.Масельонес А.В. Бесараб</w:t>
            </w:r>
          </w:p>
        </w:tc>
      </w:tr>
      <w:tr>
        <w:trPr>
          <w:trHeight w:hRule="exact" w:val="1906"/>
        </w:trPr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 контролируемым видам деятельности в сфере здравоохранения внедрение механизмов управления изменениями результативностью и эффективностью, их использование в процессе стратегического планирования, проведение международного сопоставления результатов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3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30.11.2020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30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ind w:left="101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2509"/>
        </w:trPr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Формулирование и регламентация принципов "умного регулирования", в том числе выбора форм, инструментов и интенсивности государственного регулирования и государственного контроля (надзора), исходя из соотношения количественно просчитываемых выгод и затрат регулирования, пропорциональности и риск-ориентированности.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3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30.11.2020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30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2407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Включение в рейтинг-2022 критериев на соответствие принципам «умного регулирования». Составление рейтинга-2022 по уровню зрелости системы управления результативностью и эффективностью. Оценка ущерба </w:t>
            </w:r>
            <w:r>
              <w:t xml:space="preserve"> </w:t>
            </w:r>
            <w:r>
              <w:rPr>
                <w:sz w:val="26"/>
                <w:szCs w:val="26"/>
                <w:lang w:val="ru-RU"/>
              </w:rPr>
              <w:t>по контролируемым видам деятельности в сфере здравоохранения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  <w:r>
              <w:rPr>
                <w:sz w:val="26"/>
                <w:szCs w:val="26"/>
                <w:lang w:val="ru-RU"/>
              </w:rPr>
              <w:tab/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30"/>
              <w:jc w:val="center"/>
              <w:rPr>
                <w:strike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15.12.2022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30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ind w:left="101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1616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Обеспечена автоматизация для расчета показателей результативности и эффективности данных, позволяющая анализировать указанные данные в автоматическом режиме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3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15.12.2022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30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2545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Разработка модели внедрения положений и нормативов распределения и перераспределения полномочий и финансирования на основании результативности и эффективности Росздравнадзора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  <w:r>
              <w:rPr>
                <w:sz w:val="26"/>
                <w:szCs w:val="26"/>
                <w:lang w:val="ru-RU"/>
              </w:rPr>
              <w:tab/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3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30.11.2023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30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1576"/>
        </w:trPr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Внедрение положений и нормативов распределения    или перераспределения полномочий и финансирования на основании результативности и эффективности   деятельности </w:t>
            </w:r>
            <w:r>
              <w:rPr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Росздравнадзора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завершение этапа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3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30.11.2025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30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ind w:left="101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950"/>
        </w:trPr>
        <w:tc>
          <w:tcPr>
            <w:tcW w:w="158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>
            <w:pPr>
              <w:pStyle w:val="a7"/>
              <w:shd w:val="clear" w:color="auto" w:fill="FFFFFF"/>
              <w:ind w:left="0" w:firstLine="82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Систематизация, сокращение количества и актуализация обязательных требований в сфере здравоохранения</w:t>
            </w:r>
          </w:p>
          <w:p>
            <w:pPr>
              <w:shd w:val="clear" w:color="auto" w:fill="FFFFFF"/>
              <w:ind w:firstLine="82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Ответственные исполнители:  Д.В. Пархоменко,  И.В. Крупнова</w:t>
            </w:r>
          </w:p>
          <w:p>
            <w:pPr>
              <w:pStyle w:val="a7"/>
              <w:shd w:val="clear" w:color="auto" w:fill="FFFFFF"/>
              <w:ind w:left="0" w:firstLine="82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Cs/>
                <w:lang w:val="ru-RU"/>
              </w:rPr>
              <w:t xml:space="preserve"> Соисполнитель:  И.А. Гуськова</w:t>
            </w:r>
          </w:p>
        </w:tc>
      </w:tr>
      <w:tr>
        <w:trPr>
          <w:trHeight w:hRule="exact" w:val="462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firstLine="82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Этап I (2016-2017 гг.)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197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9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-18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272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Формирование рабочей группы</w:t>
            </w:r>
            <w:r>
              <w:rPr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Федеральной службы по надзору в сфере здравоохранения по разработке перечня правовых актов и их отдельных частей (положений), содержащих обязательные требования, соблюдение которых оценивается при проведении мероприятий по контролю в рамках отдельного вида государственного контроля (надзора)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197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07.10.2016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-1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Сформирована рабочая группа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272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Составление и утверждение проекта перечня правовых актов и их отдельных частей (положений), содержащих обязательные требования, соблюдение которых оценивается при проведении мероприятий по контролю в рамках отдельного вида государственного контроля (надзора)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197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18.10.2016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Сформирован перечень обязательных требований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272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Общественное обсуждение </w:t>
            </w:r>
            <w:r>
              <w:rPr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перечня правовых актов и их отдельных частей  (положений), содержащих обязательные требования, соблюдение которых оценивается при проведении мероприятий по контролю в рамках отдельного вида государственного контроля (надзора)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197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15.11.2016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-18" w:firstLine="1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Прошло общественное обсуждение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272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Разработка и утверждение Методических рекомендаций по составлению перечня правовых актов и их отдельных  частей (положений), содержащих обязательные требования, соблюдение которых оценивается  при проведении мероприятий по контролю в рамках отдельного вида государственного контроля (надзора)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197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17.11.2016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Разработаны и утверждены приказом</w:t>
            </w:r>
            <w:r>
              <w:rPr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 xml:space="preserve">утверждение Методических рекомендаций по составлению перечня правовых актов и их отдельных  частей (положений), содержащих обязательные требования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272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Утверждение перечня правовых актов и их отдельных частей  (положений), содержащих обязательные требования, соблюдение которых оценивается при проведении мероприятий по контролю в рамках отдельного вида государственного контроля (надзора)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197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18.11.2016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Утверждены приказом Росздравнадзора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272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Размещение на сайте перечней нормативных правовых актов, закрепляющих перечни обязательных требований, соблюдение которых оценивается при проведении </w:t>
            </w:r>
            <w:r>
              <w:rPr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 xml:space="preserve">контроля в сфере здравоохранения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197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18.11.2016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Размещены на сайте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Росздравнадзора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272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Утверждены и размещены на сайте Росздравнадзора  исчерпывающие  перечни нормативных правовых актов, содержащих обязательные требования, </w:t>
            </w:r>
            <w:r>
              <w:rPr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соблюдение которых оценивается при проведении государственного контроля в сфере здравоохранения по результатам актуализации на содержание дублирующих, устаревших обязательных требований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19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28.02.2017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272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Утверждены и размещены на сайте Росздравнадзора  исчерпывающие  перечни нормативных правовых актов, содержащих обязательные требования по каждому виду контроля (надзора)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0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28.02.2017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272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Ежеквартальное обновление  перечня правовых актов и их отдельных частей  (положений), содержащих обязательные требования, соблюдение которых оценивается при проведении мероприятий по контролю в рамках отдельного вида государственного контроля (надзора)</w:t>
            </w:r>
            <w:r>
              <w:rPr>
                <w:sz w:val="26"/>
                <w:szCs w:val="26"/>
                <w:lang w:val="ru-RU"/>
              </w:rPr>
              <w:tab/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197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не позднее 15 числа месяца следующего за отчетным периодом (с 1 квартал 2017</w:t>
            </w:r>
            <w:r>
              <w:rPr>
                <w:sz w:val="26"/>
                <w:szCs w:val="26"/>
                <w:lang w:val="ru-RU"/>
              </w:rPr>
              <w:t xml:space="preserve"> года)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spacing w:line="283" w:lineRule="exact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272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Принятие приказов, определяющих порядок систематической оценки обязательных требований с учетом установленных общих требований и реализуется соответствующий механизм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0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30.03.2017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272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Обеспечено внесение изменений в положения о видах контроля (надзора), предусматривающих обязательность применения проверочных листов при осуществлении контрольно-надзорных мероприятий </w:t>
            </w:r>
            <w:r>
              <w:rPr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 xml:space="preserve">по контролируемым видам деятельности в сфере здравоохранения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02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30.04.2017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272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Проведение анализа нормативно-правовых актов, устанавливающих обязательные требования, и оценка эффективности обязательных требований для обеспечения минимизации рисков и предотвращения негативных социальных или экономических последствий, включая отмену неэффективных и избыточных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197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15.06.2017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-1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Анализ перечня правовых актов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</w:tc>
      </w:tr>
      <w:tr>
        <w:trPr>
          <w:trHeight w:hRule="exact" w:val="2417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 результатам экспертного обсуждения выявлены обязательные требования, требующие актуализации и подготовлены дорожные карты по внесению изменений в правовые акты, содержащие данные обязательные требования по 5 наиболее массовым видам предпринимательской деятельности.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02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30.09.2017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2417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Принятие нормативных правовых актов, закрепляющих использование проверочных листов по всем видам контроля (надзора)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02"/>
              <w:jc w:val="center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30.09.2017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2417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Утверждение проверочных листов при проведении контрольно-надзорных мероприятий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</w:pPr>
            <w:r>
              <w:t>3</w:t>
            </w:r>
            <w:r>
              <w:rPr>
                <w:lang w:val="ru-RU"/>
              </w:rPr>
              <w:t>0</w:t>
            </w:r>
            <w:r>
              <w:t>.09.2017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2417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Проведена систематизация (выборка) обязательных требований </w:t>
            </w:r>
            <w:r>
              <w:rPr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по контролируемым видам деятельности в сфере здравоохранения  в соответствии с подготовленной методикой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31.10.2017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2417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Обеспечено принятие правовых актов, определяющих систематизированные по видам предпринимательской деятельности, осуществляемым в уведомительном порядке, перечни нормативных правовых актов, определяющих обязательные требования и размещение их на официальном сайте Росздравнадзора;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02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2417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Приняты меры по оптимизации неэффективных и избыточных обязательных требований (включая их отмену и актуализацию)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2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15.12.2017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2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339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Обеспечено принятие правовых актов, актуализирующих обязательные требования по вопросам компетенции Росздравнадзора по наиболее массовым видам предпринимательской деятельности (розничная торговля, общественное питание, производство продуктов питания, операции с недвижимым имуществом, пассажирские перевозки), а также выявлены обязательные требования, требующие актуализации по видам контроля (надзора).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02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859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>
            <w:pPr>
              <w:spacing w:line="208" w:lineRule="auto"/>
              <w:jc w:val="both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Подготовлены, размещены в сети "Интернет" и используются в контрольно-надзорной деятельности проверочные листы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>
            <w:pPr>
              <w:pStyle w:val="a7"/>
              <w:spacing w:line="208" w:lineRule="auto"/>
              <w:ind w:left="19"/>
              <w:jc w:val="center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>
            <w:pPr>
              <w:pStyle w:val="a7"/>
              <w:spacing w:line="208" w:lineRule="auto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31.12.2017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spacing w:line="208" w:lineRule="auto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pStyle w:val="a7"/>
              <w:spacing w:line="208" w:lineRule="auto"/>
              <w:ind w:left="0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562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pacing w:line="208" w:lineRule="auto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Этап I</w:t>
            </w:r>
            <w:r>
              <w:rPr>
                <w:rFonts w:eastAsia="Arial Unicode MS"/>
                <w:sz w:val="26"/>
                <w:szCs w:val="26"/>
              </w:rPr>
              <w:t>I</w:t>
            </w:r>
            <w:r>
              <w:rPr>
                <w:rFonts w:eastAsia="Arial Unicode MS"/>
                <w:sz w:val="26"/>
                <w:szCs w:val="26"/>
                <w:lang w:val="ru-RU"/>
              </w:rPr>
              <w:t xml:space="preserve"> (201</w:t>
            </w:r>
            <w:r>
              <w:rPr>
                <w:rFonts w:eastAsia="Arial Unicode MS"/>
                <w:sz w:val="26"/>
                <w:szCs w:val="26"/>
              </w:rPr>
              <w:t>8</w:t>
            </w:r>
            <w:r>
              <w:rPr>
                <w:rFonts w:eastAsia="Arial Unicode MS"/>
                <w:sz w:val="26"/>
                <w:szCs w:val="26"/>
                <w:lang w:val="ru-RU"/>
              </w:rPr>
              <w:t xml:space="preserve"> г.)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spacing w:line="208" w:lineRule="auto"/>
              <w:ind w:left="19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spacing w:line="208" w:lineRule="auto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spacing w:line="208" w:lineRule="auto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3119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pacing w:line="208" w:lineRule="auto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 xml:space="preserve">По результатам экспертного обсуждения выявлены обязательные требования, требующие актуализации и подготовлены дорожные карты по внесению изменений в правовые акты, содержащие данные обязательные </w:t>
            </w:r>
          </w:p>
          <w:p>
            <w:pPr>
              <w:spacing w:line="208" w:lineRule="auto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требования по 5 дополнительным наиболее массовым видам предпринимательской деятельности и по 5 дополнительным видам контроля (надзора)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spacing w:line="208" w:lineRule="auto"/>
              <w:ind w:left="19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spacing w:line="208" w:lineRule="auto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31.07.2018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spacing w:line="208" w:lineRule="auto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3419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Принятие нормативных правовых актов, определяющих порядок систематической оценки эффективности обязательных требований для обеспечения минимизации рисков и предотвращения негативных социальных или экономических последствий с участием предпринимательского сообщества и с использованием личных кабинетов с учетом установленных общих требований и реализуется соответствующий механизм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ind w:left="312"/>
              <w:rPr>
                <w:sz w:val="26"/>
                <w:szCs w:val="26"/>
                <w:highlight w:val="yellow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30.09.2018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ind w:left="312"/>
              <w:rPr>
                <w:rFonts w:eastAsia="Arial Unicode MS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3537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 xml:space="preserve">Использование проверочных листов на базе перечней обязательных требований к юридическим лицам и индивидуальным предпринимателям, осуществляющим деятельность в сфере здравоохранения. Результаты заполнения проверочных листов инспектором Росздравнадзора, либо самим поднадзорным субъектом в "Личном кабинете" используются для актуализации информации об объектах проверок и присвоенных им категориях рисков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ind w:left="312"/>
              <w:rPr>
                <w:sz w:val="26"/>
                <w:szCs w:val="26"/>
                <w:highlight w:val="yellow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30.09.2018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ind w:left="312"/>
              <w:rPr>
                <w:rFonts w:eastAsia="Arial Unicode MS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3986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08" w:lineRule="auto"/>
              <w:ind w:firstLine="82"/>
              <w:jc w:val="both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Реализация доступности функционала взаимодействия с юридическими лицами и индивидуальными предпринимателями, осуществляющими деятельность в сфере здравоохранения, по ключевым видам контроля и надзора: (электронного декларирования «Электронный инспектор», информирования поднадзорного лица о присвоенных объектам категориях, информирования проверяемого лица о планируемых в его отношении проверках, с возможностью просмотра перечней обязательных требований к объектам проверки)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7"/>
              <w:spacing w:line="208" w:lineRule="auto"/>
              <w:ind w:left="19"/>
              <w:jc w:val="center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7"/>
              <w:spacing w:line="208" w:lineRule="auto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30.09.2018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08" w:lineRule="auto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08" w:lineRule="auto"/>
              <w:ind w:left="0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2997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08" w:lineRule="auto"/>
              <w:ind w:firstLine="82"/>
              <w:jc w:val="both"/>
              <w:outlineLvl w:val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 основании результатов самообследования в "Личном кабинете" путем анкетирования проверяемых юридических лиц и индивидуальных предпринимателей, осуществляющих деятельность в сфере здравоохранения, по видам деятельности актуализация данных реестров объектов в информационных системах, присвоенных им классов опасности и категорий рисков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7"/>
              <w:spacing w:line="208" w:lineRule="auto"/>
              <w:ind w:left="19"/>
              <w:jc w:val="center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7"/>
              <w:spacing w:line="208" w:lineRule="auto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30.09.2018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08" w:lineRule="auto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08" w:lineRule="auto"/>
              <w:ind w:left="0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К.Г.Поспелов</w:t>
            </w:r>
          </w:p>
        </w:tc>
      </w:tr>
      <w:tr>
        <w:trPr>
          <w:trHeight w:hRule="exact" w:val="1976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08" w:lineRule="auto"/>
              <w:ind w:firstLine="82"/>
              <w:jc w:val="both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Внедрение механизма обучения (в том числе самообучения) юридических лиц и индивидуальных предпринимателей, осуществляющих деятельность в сфере здравоохранения, в том числе с использованием "Личного кабинета"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7"/>
              <w:spacing w:line="208" w:lineRule="auto"/>
              <w:ind w:left="19"/>
              <w:jc w:val="center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7"/>
              <w:spacing w:line="208" w:lineRule="auto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30.09.2018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08" w:lineRule="auto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08" w:lineRule="auto"/>
              <w:ind w:left="0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1980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Проведена систематизация (выборка) обязательных требований по контролируемым видам деятельности в сфере здравоохранения в соответствии с подготовленной методикой для целей их использования в информационных системах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30.09.2018 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</w:p>
        </w:tc>
      </w:tr>
      <w:tr>
        <w:trPr>
          <w:trHeight w:hRule="exact" w:val="2852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both"/>
              <w:outlineLvl w:val="0"/>
              <w:rPr>
                <w:rFonts w:eastAsia="Arial Unicode MS"/>
                <w:sz w:val="28"/>
                <w:szCs w:val="28"/>
                <w:lang w:val="ru-RU"/>
              </w:rPr>
            </w:pPr>
            <w:r>
              <w:rPr>
                <w:rFonts w:eastAsia="Arial Unicode MS"/>
                <w:lang w:val="ru-RU"/>
              </w:rPr>
              <w:t xml:space="preserve">Подготовлены нормативные правовые акты, закрепляющие использование проверочных листов в ходе проверочных мероприятий </w:t>
            </w:r>
            <w:r>
              <w:rPr>
                <w:lang w:val="ru-RU"/>
              </w:rPr>
              <w:t xml:space="preserve"> </w:t>
            </w:r>
            <w:r>
              <w:rPr>
                <w:rFonts w:eastAsia="Arial Unicode MS"/>
                <w:lang w:val="ru-RU"/>
              </w:rPr>
              <w:t xml:space="preserve">по контролируемым видам деятельности в сфере здравоохранения, содержащие исчерпывающие перечни обязательных требований, соблюдение которых является наиболее значимым </w:t>
            </w:r>
            <w:r>
              <w:rPr>
                <w:lang w:val="ru-RU"/>
              </w:rPr>
              <w:t>с точки зрения недопущения возникновения угрозы причинения вреда жизни и здоровью граждан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31.10.2018 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</w:p>
        </w:tc>
      </w:tr>
      <w:tr>
        <w:trPr>
          <w:trHeight w:hRule="exact" w:val="1721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40" w:lineRule="atLeast"/>
              <w:jc w:val="both"/>
              <w:outlineLvl w:val="0"/>
              <w:rPr>
                <w:iCs/>
                <w:sz w:val="16"/>
                <w:szCs w:val="16"/>
                <w:lang w:val="ru-RU"/>
              </w:rPr>
            </w:pPr>
            <w:r>
              <w:rPr>
                <w:szCs w:val="28"/>
                <w:lang w:val="ru-RU"/>
              </w:rPr>
              <w:t>Принятие нормативных правовых актов, актуализирующих обязательные требования</w:t>
            </w:r>
            <w:r>
              <w:rPr>
                <w:rFonts w:eastAsia="Arial Unicode MS"/>
                <w:szCs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 </w:t>
            </w:r>
            <w:r>
              <w:rPr>
                <w:rFonts w:eastAsia="Arial Unicode MS"/>
                <w:szCs w:val="28"/>
                <w:lang w:val="ru-RU"/>
              </w:rPr>
              <w:t>по контролируемым видам деятельности в сфере здравоохранения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31.10.2018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rFonts w:eastAsia="Arial Unicode MS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56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40" w:lineRule="atLeast"/>
              <w:jc w:val="both"/>
              <w:outlineLvl w:val="0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Этап I</w:t>
            </w:r>
            <w:r>
              <w:rPr>
                <w:szCs w:val="28"/>
              </w:rPr>
              <w:t>II</w:t>
            </w:r>
            <w:r>
              <w:rPr>
                <w:szCs w:val="28"/>
                <w:lang w:val="ru-RU"/>
              </w:rPr>
              <w:t xml:space="preserve"> (201</w:t>
            </w:r>
            <w:r>
              <w:rPr>
                <w:szCs w:val="28"/>
              </w:rPr>
              <w:t>9</w:t>
            </w:r>
            <w:r>
              <w:rPr>
                <w:szCs w:val="28"/>
                <w:lang w:val="ru-RU"/>
              </w:rPr>
              <w:t>-20</w:t>
            </w:r>
            <w:r>
              <w:rPr>
                <w:szCs w:val="28"/>
              </w:rPr>
              <w:t>25</w:t>
            </w:r>
            <w:r>
              <w:rPr>
                <w:szCs w:val="28"/>
                <w:lang w:val="ru-RU"/>
              </w:rPr>
              <w:t xml:space="preserve"> гг.)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2681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40" w:lineRule="atLeast"/>
              <w:jc w:val="both"/>
              <w:rPr>
                <w:rFonts w:eastAsia="Arial Unicode MS"/>
                <w:szCs w:val="28"/>
                <w:lang w:val="ru-RU"/>
              </w:rPr>
            </w:pPr>
            <w:r>
              <w:rPr>
                <w:rFonts w:eastAsia="Arial Unicode MS"/>
                <w:szCs w:val="28"/>
                <w:lang w:val="ru-RU"/>
              </w:rPr>
              <w:t xml:space="preserve">По результатам экспертного обсуждения выявление обязательных требований, требующих актуализации и в случае необходимости подготовка дорожных карт  по внесению изменений в правовые акты, содержащие данные обязательные требования, по </w:t>
            </w:r>
            <w:r>
              <w:rPr>
                <w:szCs w:val="28"/>
                <w:lang w:val="ru-RU"/>
              </w:rPr>
              <w:t>наиболее массовым видам предпринимательской деятельности и видам контроля (надзора)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31.12.2019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</w:tr>
      <w:tr>
        <w:trPr>
          <w:trHeight w:hRule="exact" w:val="1836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40" w:lineRule="atLeast"/>
              <w:jc w:val="both"/>
              <w:outlineLvl w:val="0"/>
              <w:rPr>
                <w:rFonts w:eastAsia="Arial Unicode MS"/>
                <w:szCs w:val="28"/>
                <w:lang w:val="ru-RU"/>
              </w:rPr>
            </w:pPr>
            <w:r>
              <w:rPr>
                <w:rFonts w:eastAsia="Arial Unicode MS"/>
                <w:szCs w:val="28"/>
                <w:lang w:val="ru-RU"/>
              </w:rPr>
              <w:t xml:space="preserve">Обеспечено </w:t>
            </w:r>
            <w:r>
              <w:rPr>
                <w:szCs w:val="28"/>
                <w:lang w:val="ru-RU"/>
              </w:rPr>
              <w:t>принятие нормативных правовых актов, актуализирующих обязательные требования</w:t>
            </w:r>
            <w:r>
              <w:rPr>
                <w:rFonts w:eastAsia="Arial Unicode MS"/>
                <w:szCs w:val="28"/>
                <w:lang w:val="ru-RU"/>
              </w:rPr>
              <w:t xml:space="preserve"> </w:t>
            </w:r>
            <w:r>
              <w:rPr>
                <w:lang w:val="ru-RU"/>
              </w:rPr>
              <w:t xml:space="preserve"> </w:t>
            </w:r>
            <w:r>
              <w:rPr>
                <w:rFonts w:eastAsia="Arial Unicode MS"/>
                <w:szCs w:val="28"/>
                <w:lang w:val="ru-RU"/>
              </w:rPr>
              <w:t xml:space="preserve">по контролируемым видам деятельности в сфере здравоохранения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31.12.2019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</w:tr>
      <w:tr>
        <w:trPr>
          <w:trHeight w:hRule="exact" w:val="1976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40" w:lineRule="atLeast"/>
              <w:jc w:val="both"/>
              <w:outlineLvl w:val="0"/>
              <w:rPr>
                <w:rFonts w:eastAsia="Arial Unicode MS"/>
                <w:sz w:val="16"/>
                <w:szCs w:val="16"/>
                <w:lang w:val="ru-RU"/>
              </w:rPr>
            </w:pPr>
            <w:r>
              <w:rPr>
                <w:rFonts w:eastAsia="Arial Unicode MS"/>
                <w:szCs w:val="28"/>
                <w:lang w:val="ru-RU"/>
              </w:rPr>
              <w:t xml:space="preserve">Продолжена систематизация (выборка) обязательных требований </w:t>
            </w:r>
            <w:r>
              <w:rPr>
                <w:lang w:val="ru-RU"/>
              </w:rPr>
              <w:t xml:space="preserve"> </w:t>
            </w:r>
            <w:r>
              <w:rPr>
                <w:rFonts w:eastAsia="Arial Unicode MS"/>
                <w:szCs w:val="28"/>
                <w:lang w:val="ru-RU"/>
              </w:rPr>
              <w:t>по контролируемым видам деятельности в сфере здравоохранения,  в соответствии с подготовленной методикой для целей их использования в информационных системах</w:t>
            </w:r>
          </w:p>
          <w:p>
            <w:pPr>
              <w:spacing w:line="240" w:lineRule="atLeast"/>
              <w:outlineLvl w:val="0"/>
              <w:rPr>
                <w:rFonts w:eastAsia="Arial Unicode MS"/>
                <w:sz w:val="16"/>
                <w:szCs w:val="16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31.12.2019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</w:tr>
      <w:tr>
        <w:trPr>
          <w:trHeight w:hRule="exact" w:val="2147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40" w:lineRule="atLeast"/>
              <w:jc w:val="both"/>
              <w:outlineLvl w:val="0"/>
              <w:rPr>
                <w:rFonts w:eastAsia="Arial Unicode MS"/>
                <w:szCs w:val="28"/>
                <w:lang w:val="ru-RU"/>
              </w:rPr>
            </w:pPr>
            <w:r>
              <w:rPr>
                <w:rFonts w:eastAsia="Arial Unicode MS"/>
                <w:szCs w:val="28"/>
                <w:lang w:val="ru-RU"/>
              </w:rPr>
              <w:t xml:space="preserve">Внедрено использование проверочных листов, содержащих исчерпывающий перечень обязательных требований, наиболее значимых </w:t>
            </w:r>
            <w:r>
              <w:rPr>
                <w:szCs w:val="28"/>
                <w:lang w:val="ru-RU"/>
              </w:rPr>
              <w:t xml:space="preserve">с точки зрения недопущения возникновения угрозы причинения вреда жизни и здоровью граждан, </w:t>
            </w:r>
            <w:r>
              <w:rPr>
                <w:rFonts w:eastAsia="Arial Unicode MS"/>
                <w:szCs w:val="28"/>
                <w:lang w:val="ru-RU"/>
              </w:rPr>
              <w:t>по всем видам контроля, относящихся к компетенции Росздравнадзора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31.12.2020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</w:tr>
      <w:tr>
        <w:trPr>
          <w:trHeight w:hRule="exact" w:val="1698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40" w:lineRule="atLeast"/>
              <w:jc w:val="both"/>
              <w:rPr>
                <w:rFonts w:eastAsia="Arial Unicode MS"/>
                <w:szCs w:val="28"/>
                <w:vertAlign w:val="superscript"/>
                <w:lang w:val="ru-RU"/>
              </w:rPr>
            </w:pPr>
            <w:r>
              <w:rPr>
                <w:rFonts w:eastAsia="Arial Unicode MS"/>
                <w:szCs w:val="28"/>
                <w:lang w:val="ru-RU"/>
              </w:rPr>
              <w:t xml:space="preserve">Обеспечено </w:t>
            </w:r>
            <w:r>
              <w:rPr>
                <w:szCs w:val="28"/>
                <w:lang w:val="ru-RU"/>
              </w:rPr>
              <w:t>принятие нормативных правовых актов, актуализирующих обязательные требования</w:t>
            </w:r>
            <w:r>
              <w:rPr>
                <w:rFonts w:eastAsia="Arial Unicode MS"/>
                <w:szCs w:val="28"/>
                <w:lang w:val="ru-RU"/>
              </w:rPr>
              <w:t xml:space="preserve"> по всем видам контроля, относящихся к компетенции Росздравнадзора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31.12.2020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</w:tr>
      <w:tr>
        <w:trPr>
          <w:trHeight w:hRule="exact" w:val="1836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40" w:lineRule="atLeast"/>
              <w:jc w:val="both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Продолжена систематизация (выборка) обязательных требований по всем видам контроля, относящихся к компетенции Росздравнадзора в соответствии с подготовленной методикой для целей их использования в информационных системах</w:t>
            </w:r>
          </w:p>
          <w:p>
            <w:pPr>
              <w:spacing w:line="240" w:lineRule="atLeast"/>
              <w:jc w:val="both"/>
              <w:outlineLvl w:val="0"/>
              <w:rPr>
                <w:rFonts w:eastAsia="Arial Unicode MS"/>
                <w:lang w:val="ru-RU"/>
              </w:rPr>
            </w:pPr>
          </w:p>
          <w:p>
            <w:pPr>
              <w:spacing w:line="240" w:lineRule="atLeast"/>
              <w:outlineLvl w:val="0"/>
              <w:rPr>
                <w:rFonts w:eastAsia="Arial Unicode MS"/>
                <w:lang w:val="ru-RU"/>
              </w:rPr>
            </w:pPr>
          </w:p>
          <w:p>
            <w:pPr>
              <w:spacing w:line="240" w:lineRule="atLeast"/>
              <w:outlineLvl w:val="0"/>
              <w:rPr>
                <w:rFonts w:eastAsia="Arial Unicode MS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31.12.2020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</w:p>
        </w:tc>
      </w:tr>
      <w:tr>
        <w:trPr>
          <w:trHeight w:hRule="exact" w:val="1586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40" w:lineRule="atLeast"/>
              <w:jc w:val="both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Актуализированы</w:t>
            </w:r>
            <w:r>
              <w:rPr>
                <w:lang w:val="ru-RU"/>
              </w:rPr>
              <w:t xml:space="preserve"> обязательные требования</w:t>
            </w:r>
            <w:r>
              <w:rPr>
                <w:rFonts w:eastAsia="Arial Unicode MS"/>
                <w:lang w:val="ru-RU"/>
              </w:rPr>
              <w:t xml:space="preserve"> по всем видам контроля, относящихся к компетенции Росздравнадзора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31.12.2021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К.Г.Поспелов</w:t>
            </w:r>
          </w:p>
        </w:tc>
      </w:tr>
      <w:tr>
        <w:trPr>
          <w:trHeight w:hRule="exact" w:val="1836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40" w:lineRule="atLeast"/>
              <w:jc w:val="both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 xml:space="preserve">Проведена систематизация (выборка) обязательных требований </w:t>
            </w:r>
            <w:r>
              <w:rPr>
                <w:lang w:val="ru-RU"/>
              </w:rPr>
              <w:t xml:space="preserve"> </w:t>
            </w:r>
            <w:r>
              <w:rPr>
                <w:rFonts w:eastAsia="Arial Unicode MS"/>
                <w:lang w:val="ru-RU"/>
              </w:rPr>
              <w:t>по всем видам контроля, относящихся к компетенции Росздравнадзора, в соответствии с подготовленной методикой для целей их использования в информационных системах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31.12.2021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</w:tr>
      <w:tr>
        <w:trPr>
          <w:trHeight w:hRule="exact" w:val="1692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40" w:lineRule="atLeast"/>
              <w:jc w:val="both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 xml:space="preserve">Обеспечено </w:t>
            </w:r>
            <w:r>
              <w:rPr>
                <w:lang w:val="ru-RU"/>
              </w:rPr>
              <w:t>принятие нормативных правовых актов, актуализирующих обязательные требования</w:t>
            </w:r>
            <w:r>
              <w:rPr>
                <w:rFonts w:eastAsia="Arial Unicode MS"/>
                <w:lang w:val="ru-RU"/>
              </w:rPr>
              <w:t xml:space="preserve"> по всем видам контроля, относящихся к компетенции Росздравнадзора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31.12.2022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</w:tr>
      <w:tr>
        <w:trPr>
          <w:trHeight w:hRule="exact" w:val="1980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40" w:lineRule="atLeast"/>
              <w:jc w:val="both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 xml:space="preserve">Продолжена систематизация (выборка) обязательных требований </w:t>
            </w:r>
            <w:r>
              <w:rPr>
                <w:lang w:val="ru-RU"/>
              </w:rPr>
              <w:t xml:space="preserve"> </w:t>
            </w:r>
            <w:r>
              <w:rPr>
                <w:rFonts w:eastAsia="Arial Unicode MS"/>
                <w:lang w:val="ru-RU"/>
              </w:rPr>
              <w:t>по всем видам контроля, относящихся к компетенции Росздравнадзора, в соответствии с подготовленной методикой для целей их использования в информационных системах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31.12.2022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</w:tr>
      <w:tr>
        <w:trPr>
          <w:trHeight w:hRule="exact" w:val="1720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40" w:lineRule="atLeast"/>
              <w:jc w:val="both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 xml:space="preserve">Обеспечено </w:t>
            </w:r>
            <w:r>
              <w:rPr>
                <w:lang w:val="ru-RU"/>
              </w:rPr>
              <w:t>принятие нормативных правовых актов, актуализирующих обязательные требования</w:t>
            </w:r>
            <w:r>
              <w:rPr>
                <w:rFonts w:eastAsia="Arial Unicode MS"/>
                <w:lang w:val="ru-RU"/>
              </w:rPr>
              <w:t xml:space="preserve"> по всем видам контроля, относящихся к компетенции Росздравнадзора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31.12.2023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rFonts w:eastAsia="Arial Unicode MS"/>
                <w:bCs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988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40" w:lineRule="atLeast"/>
              <w:jc w:val="both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 xml:space="preserve">Продолжена систематизация (выборка) обязательных требований </w:t>
            </w:r>
            <w:r>
              <w:rPr>
                <w:lang w:val="ru-RU"/>
              </w:rPr>
              <w:t xml:space="preserve"> </w:t>
            </w:r>
            <w:r>
              <w:rPr>
                <w:rFonts w:eastAsia="Arial Unicode MS"/>
                <w:lang w:val="ru-RU"/>
              </w:rPr>
              <w:t>по всем видам контроля, относящихся к компетенции Росздравнадзора, в соответствии с подготовленной методикой для целей их использования в информационных системах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31.12.2023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</w:tr>
      <w:tr>
        <w:trPr>
          <w:trHeight w:hRule="exact" w:val="1545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40" w:lineRule="atLeast"/>
              <w:jc w:val="both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 xml:space="preserve">Обеспечено </w:t>
            </w:r>
            <w:r>
              <w:rPr>
                <w:lang w:val="ru-RU"/>
              </w:rPr>
              <w:t>принятие нормативных правовых актов, актуализирующих обязательные требования</w:t>
            </w:r>
            <w:r>
              <w:rPr>
                <w:rFonts w:eastAsia="Arial Unicode MS"/>
                <w:lang w:val="ru-RU"/>
              </w:rPr>
              <w:t xml:space="preserve"> по всем видам контроля, относящихся к компетенции Росздравнадзора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31.12.2024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rFonts w:eastAsia="Arial Unicode MS"/>
                <w:bCs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</w:tr>
      <w:tr>
        <w:trPr>
          <w:trHeight w:hRule="exact" w:val="1859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40" w:lineRule="atLeast"/>
              <w:jc w:val="both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 xml:space="preserve">Продолжена систематизация (выборка) обязательных требований </w:t>
            </w:r>
            <w:r>
              <w:rPr>
                <w:lang w:val="ru-RU"/>
              </w:rPr>
              <w:t xml:space="preserve"> </w:t>
            </w:r>
            <w:r>
              <w:rPr>
                <w:rFonts w:eastAsia="Arial Unicode MS"/>
                <w:lang w:val="ru-RU"/>
              </w:rPr>
              <w:t>по всем видам контроля, относящихся к компетенции Росздравнадзора, в соответствии с подготовленной методикой для целей их использования в информационных системах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31.12.2024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rFonts w:eastAsia="Arial Unicode MS"/>
                <w:bCs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722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40" w:lineRule="atLeast"/>
              <w:jc w:val="both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Актуализированы</w:t>
            </w:r>
            <w:r>
              <w:rPr>
                <w:lang w:val="ru-RU"/>
              </w:rPr>
              <w:t xml:space="preserve"> обязательные требования</w:t>
            </w:r>
            <w:r>
              <w:rPr>
                <w:rFonts w:eastAsia="Arial Unicode MS"/>
                <w:lang w:val="ru-RU"/>
              </w:rPr>
              <w:t xml:space="preserve"> по всем видам контроля, относящихся к компетенции Росздравнадзора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31.12.2025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</w:tr>
      <w:tr>
        <w:trPr>
          <w:trHeight w:hRule="exact" w:val="187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40" w:lineRule="atLeast"/>
              <w:jc w:val="both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 xml:space="preserve">Проведена систематизация (выборка) обязательных требований </w:t>
            </w:r>
            <w:r>
              <w:rPr>
                <w:lang w:val="ru-RU"/>
              </w:rPr>
              <w:t xml:space="preserve"> </w:t>
            </w:r>
            <w:r>
              <w:rPr>
                <w:rFonts w:eastAsia="Arial Unicode MS"/>
                <w:lang w:val="ru-RU"/>
              </w:rPr>
              <w:t>по всем видам контроля, относящихся к компетенции Росздравнадзора, в соответствии с подготовленной методикой для целей их использования в информационных системах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31.12.2025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</w:tr>
      <w:tr>
        <w:trPr>
          <w:trHeight w:hRule="exact" w:val="1735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pacing w:line="240" w:lineRule="atLeast"/>
              <w:jc w:val="both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 xml:space="preserve">Подготовлен итоговый отчет о систематизации, сокращении количества и актуализации обязательных требований </w:t>
            </w:r>
            <w:r>
              <w:rPr>
                <w:lang w:val="ru-RU"/>
              </w:rPr>
              <w:t xml:space="preserve"> </w:t>
            </w:r>
            <w:r>
              <w:rPr>
                <w:rFonts w:eastAsia="Arial Unicode MS"/>
                <w:lang w:val="ru-RU"/>
              </w:rPr>
              <w:t xml:space="preserve">по контролируемым видам деятельности в сфере здравоохранения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lang w:val="ru-RU"/>
              </w:rPr>
            </w:pPr>
            <w:r>
              <w:rPr>
                <w:rFonts w:eastAsia="Arial Unicode MS"/>
                <w:lang w:val="ru-RU"/>
              </w:rPr>
              <w:t>Завершение этапа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  <w:r>
              <w:rPr>
                <w:rFonts w:eastAsia="Arial Unicode MS"/>
                <w:bCs/>
                <w:lang w:val="ru-RU"/>
              </w:rPr>
              <w:t>31.12.2025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spacing w:line="240" w:lineRule="atLeast"/>
              <w:ind w:left="0"/>
              <w:jc w:val="center"/>
              <w:outlineLvl w:val="0"/>
              <w:rPr>
                <w:rFonts w:eastAsia="Arial Unicode MS"/>
                <w:bCs/>
                <w:lang w:val="ru-RU"/>
              </w:rPr>
            </w:pPr>
          </w:p>
        </w:tc>
      </w:tr>
      <w:tr>
        <w:trPr>
          <w:trHeight w:hRule="exact" w:val="998"/>
        </w:trPr>
        <w:tc>
          <w:tcPr>
            <w:tcW w:w="158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shd w:val="clear" w:color="auto" w:fill="FFFFFF"/>
              <w:ind w:left="0" w:firstLine="82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Внедрение системы комплексной профилактики нарушений обязательных требований</w:t>
            </w:r>
          </w:p>
          <w:p>
            <w:pPr>
              <w:pStyle w:val="a7"/>
              <w:shd w:val="clear" w:color="auto" w:fill="FFFFFF"/>
              <w:ind w:left="0" w:firstLine="82"/>
              <w:jc w:val="center"/>
              <w:rPr>
                <w:lang w:val="ru-RU"/>
              </w:rPr>
            </w:pPr>
            <w:r>
              <w:rPr>
                <w:lang w:val="ru-RU"/>
              </w:rPr>
              <w:t>Ответственные исполнители: И.Ф. Серёгина, А.Н. Шаронов</w:t>
            </w:r>
          </w:p>
          <w:p>
            <w:pPr>
              <w:pStyle w:val="a7"/>
              <w:shd w:val="clear" w:color="auto" w:fill="FFFFFF"/>
              <w:ind w:left="0" w:firstLine="82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Соисполнитель:  С.В. Ковалёв</w:t>
            </w:r>
          </w:p>
        </w:tc>
      </w:tr>
      <w:tr>
        <w:trPr>
          <w:trHeight w:hRule="exact" w:val="58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shd w:val="clear" w:color="auto" w:fill="FFFFFF"/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8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Этап I (2017 г.)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9939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8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Опубликован годовой доклад по правоприменительной практике, статистике типовых и массовых нарушений обязательных требований по государственному контролю качества и безопасности медицинской деятельности; федеральному государственному надзору в сфере обращения лекарственных средств; государственному контролю за обращением медицинских изделий, в том числе сопряженные виды лицензионного контроля: лицензионный контроль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"Сколково"); лицензионный контроль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техники; лицензионный контроль фармацевтической деятельности; лицензионный контроль оборота наркотических средств, психотропных веществ и их прекурсоров, культивированию наркосодержащих растений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30.04.2017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8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Опубликован годовой доклад с руководством по соблюдению обязательных требований по государственному контролю качества и безопасности медицинской деятельности; федеральному государственному надзору в сфере обращения лекарственных средств; государственному контролю за обращением медицинских изделий, в том числе сопряженные виды лицензионного контроля: лицензионный контроль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"Сколково"); лицензионный контроль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техники; лицензионный контроль фармацевтической деятельности; лицензионный контроль оборота наркотических средств, психотропных веществ и их прекурсоров, культивированию наркосодержащих растений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30.04.2017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356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8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Проведены ежеквартальные публичные мероприятия для представителей подконтрольных объектов центральным аппаратом Росздравнадзора и территориальными органами  Росздравнадзора по соблюдению   обязательных требований по контролируемым видам деятельности в сфере здравоохранения, с размещением результатов  публичных мероприятий в сети «Интернет» на официальном сайте Росздравнадзора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31.12.2017</w:t>
            </w:r>
          </w:p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</w:tr>
      <w:t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По государственному контролю качества и безопасности медицинской деятельности; федеральному государственному надзору в сфере обращения лекарственных средств; государственному контролю за обращением медицинских изделий, в том числе сопряженные виды лицензионного контроля: лицензионный контроль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"Сколково"); лицензионный контроль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техники; лицензионный </w:t>
            </w:r>
            <w:r>
              <w:rPr>
                <w:sz w:val="26"/>
                <w:szCs w:val="26"/>
                <w:lang w:val="ru-RU"/>
              </w:rPr>
              <w:lastRenderedPageBreak/>
              <w:t>контроль фармацевтической деятельности; лицензионный контроль оборота наркотических средств, психотропных веществ и их прекурсоров, культивированию наркосодержащих растений внедрены средства механизма обучения (включая самообучение) подконтрольных субъектов, в том числе с использованием информационных технологий, самостоятельной оценки подконтрольным субъектом соблюдение к нему обязательных требований (самообследование) с использованием проверочных листов, содержащих обязательные требования.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31.12.2017</w:t>
            </w:r>
          </w:p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992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Опубликован годовой доклад по правоприменительной практике, статистике типовых и массовых нарушений обязательных требований по контролируемым видам деятельности в сфере здравоохранения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30.04.2018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1721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Опубликован годовой доклад с руководством по соблюдению обязательных требований по контролируемым видам деятельности в сфере здравоохранения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30.04.2018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3702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Проведены ежеквартальные публичные мероприятия для представителей подконтрольных объектов центральным аппаратом Росздравнадзора и территориальными органами  Росздравнадзора по соблюдению   обязательных требований по государственному контролю в сфере здравоохранения, с размещением результатов публичных мероприятий в сети «Интернет» на официальном сайте Росздравнадзора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12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31.10.2018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12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836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Проведена оценка эффективности и востребованности  профилактических мероприятий для подконтрольных субъектов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558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Внедрен 1-й уровень Стандарта комплексной профилактики обязательных требований по 75%  видам контроля (надзора)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12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12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5545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 25% видам контроля (надзора) внедрен 2-й уровень Стандарта, предполагающий дополнительно:</w:t>
            </w:r>
          </w:p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изменение на постоянной основе нормативного регулирования и управленческой практики по результатам профилактических мероприятий;</w:t>
            </w:r>
          </w:p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комплексную информатизацию профилактических мероприятий;</w:t>
            </w:r>
          </w:p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механизм оценки эффективности и востребованности профилактических мероприятий;</w:t>
            </w:r>
          </w:p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сопоставление с лучшими практиками, в том числе зарубежными;</w:t>
            </w:r>
          </w:p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создание полноценной системы обучения подконтрольных лиц, в том числе с использованием on-line курсов и иных подобных инструментов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12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12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563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Этап </w:t>
            </w:r>
            <w:r>
              <w:rPr>
                <w:sz w:val="26"/>
                <w:szCs w:val="26"/>
              </w:rPr>
              <w:t xml:space="preserve">III </w:t>
            </w:r>
            <w:r>
              <w:rPr>
                <w:sz w:val="26"/>
                <w:szCs w:val="26"/>
                <w:lang w:val="ru-RU"/>
              </w:rPr>
              <w:t xml:space="preserve"> (2019-2025 гг.)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12"/>
              <w:rPr>
                <w:sz w:val="26"/>
                <w:szCs w:val="26"/>
                <w:lang w:val="ru-RU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12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199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Опубликован годовой доклад по правоприменительной практике, статистике типовых и массовых нарушений обязательных требований по всем видам контроля, относящихся к компетенции Росздравнадзора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30.04.2019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56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Опубликован годовой доклад с руководством по соблюдению обязательных требований </w:t>
            </w:r>
            <w:r>
              <w:rPr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по всем видам контроля, относящихся к компетенции Росздравнадзора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30.04.2019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56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 всем видам контроля (надзора) внедрен 1-й уровень Стандарта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56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 75% видам контроля (надзора) внедрен 2-й уровень Стандарта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949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Внедрен механизм обучения (включая самообучение) подконтрольных субъектов соблюдению предъявляемых к ним обязательных требований </w:t>
            </w:r>
            <w:r>
              <w:rPr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по всем видам контроля, относящихся к компетенции Росздравнадзора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859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Опубликован годовой доклад по правоприменительной практике, статистике типовых и массовых нарушений обязательных требований </w:t>
            </w:r>
            <w:r>
              <w:rPr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по всем видам контроля, относящихся к компетенции Росздравнадзора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30.04.2020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700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Опубликован годовой доклад с руководством по соблюдению обязательных требований 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по всем видам контроля, относящихся к компетенции Росздравнадзора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показателя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30.04.2020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2121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Внедрен механизм самостоятельного определения подконтрольным субъектом перечней предъявляемых к нему обязательных требований 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по всем видам контроля, относящихся к компетенции Росздравнадзора, на основе заполнения проверочных листов</w:t>
            </w:r>
          </w:p>
          <w:p>
            <w:pPr>
              <w:ind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30.11.2020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2121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По всем видам контроля (надзора) внедрен 2-й уровень Стандарта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30.11.2020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07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582"/>
        </w:trPr>
        <w:tc>
          <w:tcPr>
            <w:tcW w:w="158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>
            <w:pPr>
              <w:pStyle w:val="a7"/>
              <w:shd w:val="clear" w:color="auto" w:fill="FFFFFF"/>
              <w:ind w:left="0" w:firstLine="82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Внедрение эффективных механизмов кадровой политики в деятельности Росздравнадзора </w:t>
            </w:r>
            <w:r>
              <w:rPr>
                <w:rFonts w:eastAsia="Calibri"/>
                <w:b/>
                <w:sz w:val="28"/>
                <w:szCs w:val="28"/>
                <w:lang w:val="ru-RU"/>
              </w:rPr>
              <w:t>по  государственному контролю в сфере здравоохранения</w:t>
            </w:r>
          </w:p>
          <w:p>
            <w:pPr>
              <w:pStyle w:val="a7"/>
              <w:shd w:val="clear" w:color="auto" w:fill="FFFFFF"/>
              <w:ind w:left="0" w:firstLine="82"/>
              <w:jc w:val="center"/>
              <w:rPr>
                <w:lang w:val="ru-RU"/>
              </w:rPr>
            </w:pPr>
            <w:r>
              <w:rPr>
                <w:lang w:val="ru-RU"/>
              </w:rPr>
              <w:t>Ответственные исполнители: М.А. Мурашко, Е.В. Масельонес</w:t>
            </w:r>
          </w:p>
          <w:p>
            <w:pPr>
              <w:pStyle w:val="a7"/>
              <w:shd w:val="clear" w:color="auto" w:fill="FFFFFF"/>
              <w:ind w:left="0" w:firstLine="82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Соисполнитель:  Е.А. Белоусова</w:t>
            </w:r>
          </w:p>
        </w:tc>
      </w:tr>
      <w:tr>
        <w:trPr>
          <w:trHeight w:hRule="exact" w:val="580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10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Этап </w:t>
            </w:r>
            <w:r>
              <w:rPr>
                <w:sz w:val="26"/>
                <w:szCs w:val="26"/>
              </w:rPr>
              <w:t>I</w:t>
            </w:r>
            <w:r>
              <w:rPr>
                <w:sz w:val="26"/>
                <w:szCs w:val="26"/>
                <w:lang w:val="ru-RU"/>
              </w:rPr>
              <w:t xml:space="preserve"> (2017 г.)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3413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Разработаны квалификационные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Росздравнадзора, осуществляющих контрольно-надзорные функции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31.05.2017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</w:tc>
      </w:tr>
      <w:tr>
        <w:trPr>
          <w:trHeight w:hRule="exact" w:val="2285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Проведен комплексный аудит 1-го уровня (системный анализ полного цикла функциональных и управленческих процессов), а также комплексный аудит 2-го уровня (комплексный анализ основных элементов функциональных и управленческих процессов)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31.05.2017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</w:tc>
      </w:tr>
      <w:tr>
        <w:trPr>
          <w:trHeight w:hRule="exact" w:val="2143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Проведена стратегическая сессия с руководством Росздравнадзора по результатам комплексного аудита, направленная на обучение современным методам реализации контрольно-надзорной деятельности, развитие управленческих компетенций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30.06.2017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</w:tc>
      </w:tr>
      <w:tr>
        <w:trPr>
          <w:trHeight w:hRule="exact" w:val="930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10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Утверждение адаптированной с учетом специфики деятельности Росздравнадзора стандарта кадрового менеджмента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15</w:t>
            </w:r>
            <w:r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  <w:lang w:val="ru-RU"/>
              </w:rPr>
              <w:t>9</w:t>
            </w:r>
            <w:r>
              <w:rPr>
                <w:sz w:val="26"/>
                <w:szCs w:val="26"/>
              </w:rPr>
              <w:t>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</w:tc>
      </w:tr>
      <w:tr>
        <w:trPr>
          <w:trHeight w:hRule="exact" w:val="239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10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В 50 % должностных регламентов государственных гражданских служащих Росздравнадзора, осуществляющих контрольно-надзорные полномочия </w:t>
            </w:r>
            <w:r>
              <w:rPr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по  государственному контролю в сфере здравоохранения, включены детализированные квалификационные требования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30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ru-RU"/>
              </w:rPr>
              <w:t>1</w:t>
            </w:r>
            <w:r>
              <w:rPr>
                <w:sz w:val="26"/>
                <w:szCs w:val="26"/>
              </w:rPr>
              <w:t>0.2017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</w:tc>
      </w:tr>
      <w:tr>
        <w:trPr>
          <w:trHeight w:hRule="exact" w:val="1193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10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Разработаны оценочные инструменты для проверки соответствия претендентов и государственных служащих квалификационным требованиям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30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ru-RU"/>
              </w:rPr>
              <w:t>10</w:t>
            </w:r>
            <w:r>
              <w:rPr>
                <w:sz w:val="26"/>
                <w:szCs w:val="26"/>
              </w:rPr>
              <w:t>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</w:tc>
      </w:tr>
      <w:tr>
        <w:trPr>
          <w:trHeight w:hRule="exact" w:val="2568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10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Реализован пилотный проект совершенствования функциональных процессов контрольно-надзорной деятельности Росздравнадзора посредством корректировки порядков, административных регламентов и организационно-управленческих механизмов осуществления контрольно-надзорной деятельности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30.11.2017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3409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Подготовлен локальный акт Росздравнадзора, устанавливающий новый порядок выплаты премий за выполнение особо важных и сложных заданий, направленный на повышение мотивации для достижения конечных общественно-значимых результатов деятельности, в рамках системы материальной мотивации, основанной на ключевых показателях эффективности контрольно-надзорной деятельности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ru-RU"/>
              </w:rPr>
              <w:t>11</w:t>
            </w:r>
            <w:r>
              <w:rPr>
                <w:sz w:val="26"/>
                <w:szCs w:val="26"/>
              </w:rPr>
              <w:t>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А.В. Бесараб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2276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Проведено обучение, в том числе дистанционно, управленческих команд Росздравнадзора современным методам контрольно-надзорной деятельности, управленческим компетенциям, (</w:t>
            </w:r>
            <w:r>
              <w:rPr>
                <w:sz w:val="26"/>
                <w:szCs w:val="26"/>
              </w:rPr>
              <w:t>soft</w:t>
            </w:r>
            <w:r>
              <w:rPr>
                <w:sz w:val="26"/>
                <w:szCs w:val="26"/>
                <w:lang w:val="ru-RU"/>
              </w:rPr>
              <w:t>-</w:t>
            </w:r>
            <w:r>
              <w:rPr>
                <w:sz w:val="26"/>
                <w:szCs w:val="26"/>
              </w:rPr>
              <w:t>skills</w:t>
            </w:r>
            <w:r>
              <w:rPr>
                <w:sz w:val="26"/>
                <w:szCs w:val="26"/>
                <w:lang w:val="ru-RU"/>
              </w:rPr>
              <w:t>, управление изменениями, навыки проектного управления)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15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ru-RU"/>
              </w:rPr>
              <w:t>12</w:t>
            </w:r>
            <w:r>
              <w:rPr>
                <w:sz w:val="26"/>
                <w:szCs w:val="26"/>
              </w:rPr>
              <w:t>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</w:tc>
      </w:tr>
      <w:tr>
        <w:trPr>
          <w:trHeight w:hRule="exact" w:val="3541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Проведена ежегодная оценка эффективности и результативности профессиональной служебной деятельности государственных служащих Росздравнадзора, реализующих контрольно-надзорные полномочия </w:t>
            </w:r>
            <w:r>
              <w:rPr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по  государственному контролю в сфере здравоохранения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ru-RU"/>
              </w:rPr>
              <w:t>12</w:t>
            </w:r>
            <w:r>
              <w:rPr>
                <w:sz w:val="26"/>
                <w:szCs w:val="26"/>
              </w:rPr>
              <w:t>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А.В. Бесараб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722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Оптимизирована структура в целях усиления кадрового состава аналитических подразделений занимающихся прогнозированием рисков, а также кадровых служб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ru-RU"/>
              </w:rPr>
              <w:t>12</w:t>
            </w:r>
            <w:r>
              <w:rPr>
                <w:sz w:val="26"/>
                <w:szCs w:val="26"/>
              </w:rPr>
              <w:t>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А.В. Бесараб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700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Этап </w:t>
            </w:r>
            <w:r>
              <w:rPr>
                <w:sz w:val="26"/>
                <w:szCs w:val="26"/>
              </w:rPr>
              <w:t xml:space="preserve">II </w:t>
            </w:r>
            <w:r>
              <w:rPr>
                <w:sz w:val="26"/>
                <w:szCs w:val="26"/>
                <w:lang w:val="ru-RU"/>
              </w:rPr>
              <w:t>(2018 г.)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700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Внедрен комплекс компьютерного тестирования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30.07.2018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</w:tc>
      </w:tr>
      <w:tr>
        <w:trPr>
          <w:trHeight w:hRule="exact" w:val="700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Разработан и внедрен комплекс дистанционного обучения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31.08.2018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</w:tc>
      </w:tr>
      <w:tr>
        <w:trPr>
          <w:trHeight w:hRule="exact" w:val="2401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10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Корректировка должностных регламентов государственных гражданских служащих Росздравнадзора, осуществляющих контрольно-надзорные полномочия </w:t>
            </w:r>
            <w:r>
              <w:rPr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по  государственному контролю в сфере здравоохранения в части включения детализированных квалификационных требований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ru-RU"/>
              </w:rPr>
              <w:t>1</w:t>
            </w:r>
            <w:r>
              <w:rPr>
                <w:sz w:val="26"/>
                <w:szCs w:val="26"/>
              </w:rPr>
              <w:t>0.201</w:t>
            </w: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1944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Проведена ежегодная оценка эффективности и результативности профессиональной служебной деятельности государственных служащих Росздравнадзора, реализующих контрольно-надзорные полномочия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ru-RU"/>
              </w:rPr>
              <w:t>12</w:t>
            </w:r>
            <w:r>
              <w:rPr>
                <w:sz w:val="26"/>
                <w:szCs w:val="26"/>
              </w:rPr>
              <w:t>.201</w:t>
            </w: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А.В. Бесараб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393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Проведен конкурс «Лучший инспектор риск-ориентированной системы контрольно-надзорной деятельности»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ru-RU"/>
              </w:rPr>
              <w:t>12</w:t>
            </w:r>
            <w:r>
              <w:rPr>
                <w:sz w:val="26"/>
                <w:szCs w:val="26"/>
              </w:rPr>
              <w:t>.201</w:t>
            </w: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А.В. Бесараб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2140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Внедрена система материальной и нематериальной мотивации гражданских служащих Росздравнадзора, включающая технологии «кадрового лифта», карьерных траекторий и подходы к осуществлению материального стимулирования и поощрения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ru-RU"/>
              </w:rPr>
              <w:t>12</w:t>
            </w:r>
            <w:r>
              <w:rPr>
                <w:sz w:val="26"/>
                <w:szCs w:val="26"/>
              </w:rPr>
              <w:t>.201</w:t>
            </w: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А.В. Бесараб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618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Этап </w:t>
            </w:r>
            <w:r>
              <w:rPr>
                <w:sz w:val="26"/>
                <w:szCs w:val="26"/>
              </w:rPr>
              <w:t xml:space="preserve">III </w:t>
            </w:r>
            <w:r>
              <w:rPr>
                <w:sz w:val="26"/>
                <w:szCs w:val="26"/>
                <w:lang w:val="ru-RU"/>
              </w:rPr>
              <w:t>(2019-2025 гг.)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1435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Утверждены и внедрены Стандарты управления кадрами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30.12.2024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А.В. Бесараб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695"/>
        </w:trPr>
        <w:tc>
          <w:tcPr>
            <w:tcW w:w="158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ind w:firstLine="82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 xml:space="preserve">Внедрение системы предупреждения и профилактики коррупционных проявлений </w:t>
            </w:r>
            <w:r>
              <w:rPr>
                <w:b/>
                <w:bCs/>
                <w:sz w:val="28"/>
                <w:szCs w:val="28"/>
                <w:lang w:val="ru-RU"/>
              </w:rPr>
              <w:br/>
              <w:t>в контрольно-надзорной деятельности в сфере здравоохранения</w:t>
            </w:r>
          </w:p>
          <w:p>
            <w:pPr>
              <w:shd w:val="clear" w:color="auto" w:fill="FFFFFF"/>
              <w:ind w:firstLine="82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Ответственные исполнители: М.А. Мурашко, Е.В. Масельонес </w:t>
            </w:r>
          </w:p>
          <w:p>
            <w:pPr>
              <w:shd w:val="clear" w:color="auto" w:fill="FFFFFF"/>
              <w:ind w:firstLine="82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Соисполнитель:  Е.А. Белоусова</w:t>
            </w:r>
          </w:p>
        </w:tc>
      </w:tr>
      <w:tr>
        <w:trPr>
          <w:trHeight w:hRule="exact" w:val="58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74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Этап I (2017 г.)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1269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74" w:lineRule="exact"/>
              <w:ind w:hanging="5"/>
              <w:jc w:val="both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 xml:space="preserve">Разработаны проекты карт коррупционных рисков </w:t>
            </w:r>
            <w:r>
              <w:rPr>
                <w:rFonts w:eastAsia="Arial Unicode MS"/>
                <w:sz w:val="26"/>
                <w:szCs w:val="26"/>
                <w:lang w:val="ru-RU"/>
              </w:rPr>
              <w:t>и определены правовые и организационные меры по их минимизации в Росздравнадзоре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30.06.2017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2693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74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 xml:space="preserve">Проекты карт коррупционных рисков </w:t>
            </w:r>
            <w:r>
              <w:rPr>
                <w:rFonts w:eastAsia="Arial Unicode MS"/>
                <w:sz w:val="26"/>
                <w:szCs w:val="26"/>
                <w:lang w:val="ru-RU"/>
              </w:rPr>
              <w:t>прошли процедуру общественного обсуждения, в том числе с участием Общественных совета МЧС России, Экспертного совета при Правительстве Российской Федерации, общероссийских общественных объединений предпринимателей (ТПП РФ, РСПП, «ОПОРА РОССИИ», «Деловая Россия»)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ind w:left="0"/>
              <w:jc w:val="center"/>
              <w:outlineLvl w:val="0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  <w:t>31.07.2017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ind w:left="0"/>
              <w:jc w:val="center"/>
              <w:outlineLvl w:val="0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022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74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Утверждены карты коррупционных рисков, прошедшие процедуры общественного обсуждения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31.08.2017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296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74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Реализован комплекс правовых и организационных мероприятий по минимизации выявленных коррупционных рисков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31.08.2017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382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ind w:left="0"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shd w:val="clear" w:color="auto" w:fill="FFFFFF"/>
                <w:lang w:val="ru-RU"/>
              </w:rPr>
              <w:t xml:space="preserve">Организовано обучение и иные мероприятия по профессиональному развитию по антикоррупционной тематике для сотрудников подразделений (должностных лиц), ответственных за профилактику коррупционных и иных правонарушений, а также для лиц, замещающих должности федеральной государственной службы, связанные с высоким коррупционным риском в Росздравнадзоре </w:t>
            </w:r>
            <w:r>
              <w:rPr>
                <w:rFonts w:eastAsia="Arial Unicode MS"/>
                <w:bCs/>
                <w:sz w:val="26"/>
                <w:szCs w:val="26"/>
                <w:lang w:val="ru-RU"/>
              </w:rPr>
              <w:t>по  государственному контролю в сфере здравоохранения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ru-RU"/>
              </w:rPr>
              <w:t>11</w:t>
            </w:r>
            <w:r>
              <w:rPr>
                <w:sz w:val="26"/>
                <w:szCs w:val="26"/>
              </w:rPr>
              <w:t>.201</w:t>
            </w:r>
            <w:r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970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ind w:left="19" w:hanging="5"/>
              <w:jc w:val="both"/>
              <w:outlineLvl w:val="0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Принято участие в организации проведения в Росздравнадзоре ежегодного социологического исследования уровня коррупции в федеральных органах исполнительной власти, осуществляющих контрольно-надзорные полномочия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ind w:left="0"/>
              <w:jc w:val="center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ind w:left="0"/>
              <w:jc w:val="center"/>
              <w:outlineLvl w:val="0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</w:rPr>
              <w:t>30.11.2017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pStyle w:val="a7"/>
              <w:ind w:left="0"/>
              <w:outlineLvl w:val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pStyle w:val="a7"/>
              <w:ind w:left="0"/>
              <w:outlineLvl w:val="0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К.Г.Поспелов</w:t>
            </w:r>
          </w:p>
        </w:tc>
      </w:tr>
      <w:tr>
        <w:trPr>
          <w:trHeight w:hRule="exact" w:val="4556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uppressAutoHyphens/>
              <w:ind w:hanging="5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Реализован комплекс профилактических мероприятий, направленный на  соблюдение установленных антикоррупционных запретов, ограничений и требований лицами, замещающими должности, связанные с высоким коррупционным риском в области  государственного контроля качества и безопасности медицинской деятельности, федерального государственного надзора в сфере обращения лекарственных средств, государственного контроля за обращением медицинских изделий, а также формирование у таких лиц нетерпимого отношения к проявлениям коррупции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  <w:p>
            <w:pPr>
              <w:jc w:val="center"/>
            </w:pPr>
          </w:p>
        </w:tc>
        <w:tc>
          <w:tcPr>
            <w:tcW w:w="23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rFonts w:eastAsia="Arial Unicode MS"/>
                <w:b/>
                <w:i/>
                <w:sz w:val="26"/>
                <w:szCs w:val="26"/>
                <w:u w:color="000000"/>
              </w:rPr>
            </w:pPr>
            <w:r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ru-RU"/>
              </w:rPr>
              <w:t>1</w:t>
            </w:r>
            <w:r>
              <w:rPr>
                <w:sz w:val="26"/>
                <w:szCs w:val="26"/>
              </w:rPr>
              <w:t>.12.2017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43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Этап I</w:t>
            </w:r>
            <w:r>
              <w:rPr>
                <w:sz w:val="26"/>
                <w:szCs w:val="26"/>
              </w:rPr>
              <w:t>I</w:t>
            </w:r>
            <w:r>
              <w:rPr>
                <w:sz w:val="26"/>
                <w:szCs w:val="26"/>
                <w:lang w:val="ru-RU"/>
              </w:rPr>
              <w:t xml:space="preserve"> (2018 г.)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1275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Организована ротация государственных гражданских служащих, замещающих должности, связанные с высоким коррупционным риском</w:t>
            </w:r>
            <w:r>
              <w:rPr>
                <w:rStyle w:val="af8"/>
                <w:sz w:val="26"/>
                <w:szCs w:val="26"/>
                <w:lang w:val="ru-RU"/>
              </w:rPr>
              <w:footnoteReference w:id="3"/>
            </w:r>
            <w:r>
              <w:rPr>
                <w:sz w:val="26"/>
                <w:szCs w:val="26"/>
                <w:lang w:val="ru-RU"/>
              </w:rPr>
              <w:t>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28.02.2018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008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Утверждена карта коррупционных рисков в Росздравнадзоре (с учетом пересмотра в 2018 году)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28.02.2018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3848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ind w:left="0"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shd w:val="clear" w:color="auto" w:fill="FFFFFF"/>
                <w:lang w:val="ru-RU"/>
              </w:rPr>
              <w:t xml:space="preserve">Организовано обучение и иные мероприятия по профессиональному развитию по антикоррупционной тематике для сотрудников подразделений (должностных лиц), ответственных за профилактику коррупционных и иных правонарушений, а также для лиц, замещающих должности федеральной государственной службы, связанные с высоким коррупционным риском в Росздравнадзоре </w:t>
            </w:r>
            <w:r>
              <w:rPr>
                <w:rFonts w:eastAsia="Arial Unicode MS"/>
                <w:bCs/>
                <w:sz w:val="26"/>
                <w:szCs w:val="26"/>
                <w:lang w:val="ru-RU"/>
              </w:rPr>
              <w:t>по государственному контролю в сфере здравоохранения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30.1</w:t>
            </w:r>
            <w:r>
              <w:rPr>
                <w:sz w:val="26"/>
                <w:szCs w:val="26"/>
                <w:lang w:val="ru-RU"/>
              </w:rPr>
              <w:t>1</w:t>
            </w:r>
            <w:r>
              <w:rPr>
                <w:sz w:val="26"/>
                <w:szCs w:val="26"/>
              </w:rPr>
              <w:t>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1866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hanging="5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Принято участие в организации проведения в Росздравнадзоре ежегодного социологического исследования уровня коррупции в федеральных органах исполнительной власти, осуществляющих контрольно-надзорные полномочия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rFonts w:eastAsia="Arial Unicode MS"/>
                <w:sz w:val="26"/>
                <w:szCs w:val="26"/>
                <w:u w:color="000000"/>
              </w:rPr>
            </w:pPr>
            <w:r>
              <w:rPr>
                <w:rFonts w:eastAsia="Arial Unicode MS"/>
                <w:sz w:val="26"/>
                <w:szCs w:val="26"/>
                <w:u w:color="000000"/>
              </w:rPr>
              <w:t>30.11.2018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rFonts w:eastAsia="Arial Unicode MS"/>
                <w:sz w:val="26"/>
                <w:szCs w:val="26"/>
                <w:u w:color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1413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Реализован комплекс правовых и организационных мероприятий по минимизации выявленных коррупционных рисков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ru-RU"/>
              </w:rPr>
              <w:t>1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ru-RU"/>
              </w:rPr>
              <w:t>12</w:t>
            </w:r>
            <w:r>
              <w:rPr>
                <w:sz w:val="26"/>
                <w:szCs w:val="26"/>
              </w:rPr>
              <w:t>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2993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Реализован комплекс профилактических мероприятий, направленный на соблюдение установленных антикоррупционных запретов, ограничений  и требований лицами, замещающими должности, связанные с высоким коррупционным риском, а также формирование у таких лиц нетерпимого отношения к проявлениям коррупции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31.</w:t>
            </w:r>
            <w:r>
              <w:rPr>
                <w:sz w:val="26"/>
                <w:szCs w:val="26"/>
                <w:lang w:val="ru-RU"/>
              </w:rPr>
              <w:t>12</w:t>
            </w:r>
            <w:r>
              <w:rPr>
                <w:sz w:val="26"/>
                <w:szCs w:val="26"/>
              </w:rPr>
              <w:t>.201</w:t>
            </w: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427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Этап </w:t>
            </w:r>
            <w:r>
              <w:rPr>
                <w:sz w:val="26"/>
                <w:szCs w:val="26"/>
              </w:rPr>
              <w:t xml:space="preserve">III (2019-2025 </w:t>
            </w:r>
            <w:r>
              <w:rPr>
                <w:sz w:val="26"/>
                <w:szCs w:val="26"/>
                <w:lang w:val="ru-RU"/>
              </w:rPr>
              <w:t>гг.)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1287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Реализован комплекс правовых и организационных мероприятий по минимизации выявленных коррупционных рисков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</w:tc>
      </w:tr>
      <w:tr>
        <w:trPr>
          <w:trHeight w:hRule="exact" w:val="2005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hanging="5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Принято участие в организации проведения в Росздравнадзоре ежегодного социологического исследования уровня коррупции в федеральных органах исполнительной власти, осуществляющих контрольно-надзорные полномочия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31.12.2019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3835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ind w:left="0"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shd w:val="clear" w:color="auto" w:fill="FFFFFF"/>
                <w:lang w:val="ru-RU"/>
              </w:rPr>
              <w:t xml:space="preserve">Организовано обучение и иные мероприятия по профессиональному развитию по антикоррупционной тематике для сотрудников подразделений (должностных лиц), ответственных за профилактику коррупционных и иных правонарушений, а также для лиц, замещающих должности федеральной государственной службы, связанные с высоким коррупционным риском в Росздравнадзоре </w:t>
            </w:r>
            <w:r>
              <w:rPr>
                <w:lang w:val="ru-RU"/>
              </w:rPr>
              <w:t xml:space="preserve"> </w:t>
            </w:r>
            <w:r>
              <w:rPr>
                <w:rFonts w:eastAsia="Arial Unicode MS"/>
                <w:bCs/>
                <w:sz w:val="26"/>
                <w:szCs w:val="26"/>
                <w:lang w:val="ru-RU"/>
              </w:rPr>
              <w:t xml:space="preserve">по  государственному контролю в сфере здравоохранения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ru-RU"/>
              </w:rPr>
              <w:t>12</w:t>
            </w:r>
            <w:r>
              <w:rPr>
                <w:sz w:val="26"/>
                <w:szCs w:val="26"/>
              </w:rPr>
              <w:t>.201</w:t>
            </w:r>
            <w:r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9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3841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hanging="5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Продолжена работа по реализации комплекса правовых и организационных мероприятий по минимизации выявленных коррупционных рисков, в том числе комплекса профилактических мероприятий, направленного на соблюдение антикоррупционных запретов, ограничений и требований лицами, замещающими должности, связанные с высоким коррупционным риском, а также формирование у таких лиц нетерпимого отношения к проявлениям коррупции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31.</w:t>
            </w:r>
            <w:r>
              <w:rPr>
                <w:sz w:val="26"/>
                <w:szCs w:val="26"/>
                <w:lang w:val="ru-RU"/>
              </w:rPr>
              <w:t>12</w:t>
            </w:r>
            <w:r>
              <w:rPr>
                <w:sz w:val="26"/>
                <w:szCs w:val="26"/>
              </w:rPr>
              <w:t>.201</w:t>
            </w:r>
            <w:r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Е.В. Масельонес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Е.А. Белоусова</w: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</w:tc>
      </w:tr>
      <w:tr>
        <w:trPr>
          <w:trHeight w:hRule="exact" w:val="996"/>
        </w:trPr>
        <w:tc>
          <w:tcPr>
            <w:tcW w:w="158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>
            <w:pPr>
              <w:shd w:val="clear" w:color="auto" w:fill="FFFFFF"/>
              <w:ind w:firstLine="82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Автоматизация контрольно-надзорной деятельности</w:t>
            </w:r>
          </w:p>
          <w:p>
            <w:pPr>
              <w:shd w:val="clear" w:color="auto" w:fill="FFFFFF"/>
              <w:ind w:firstLine="82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Ответственные исполнители: Д.В. Пархоменко, Л.В. Лисовой, К.Г. Поспелов </w:t>
            </w:r>
          </w:p>
          <w:p>
            <w:pPr>
              <w:shd w:val="clear" w:color="auto" w:fill="FFFFFF"/>
              <w:ind w:firstLine="82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lang w:val="ru-RU"/>
              </w:rPr>
              <w:t>Соисполнитель:  М.С. Костенко</w:t>
            </w:r>
          </w:p>
        </w:tc>
      </w:tr>
      <w:tr>
        <w:trPr>
          <w:trHeight w:hRule="exact" w:val="583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firstLine="82"/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Этап I (2017 г.)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lang w:val="ru-RU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lang w:val="ru-RU"/>
              </w:rPr>
            </w:pPr>
          </w:p>
        </w:tc>
      </w:tr>
      <w:tr>
        <w:trPr>
          <w:trHeight w:hRule="exact" w:val="2143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На основе применения Стандарта информатизации КНД в АИС Росздравнадзора созданы и используются для планирования контрольно-надзорных мероприятий исчерпывающие реестры проверяемых объектов, в том числе лицензиатов</w:t>
            </w:r>
          </w:p>
          <w:p>
            <w:pPr>
              <w:ind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lang w:val="ru-RU"/>
              </w:rPr>
            </w:pPr>
            <w:r>
              <w:rPr>
                <w:lang w:val="ru-RU"/>
              </w:rPr>
              <w:t>31.12.2017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К.Г. Поспелов</w:t>
            </w:r>
          </w:p>
        </w:tc>
      </w:tr>
      <w:tr>
        <w:trPr>
          <w:trHeight w:hRule="exact" w:val="4951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В подсистеме «Паспорт организации» АИС Росздравнадзора реализован механизм сбора, учета и аналитической обработки показателей (индикаторов) для определения категорий риска и классов опасностей проверяемых объектов, в том числе, на основе межведомственного взаимодействия с использованием единой системы межведомственного электронного взаимодействия (СМЭВ) с </w:t>
            </w:r>
            <w:r>
              <w:rPr>
                <w:sz w:val="26"/>
                <w:szCs w:val="26"/>
                <w:lang w:val="ru-RU"/>
              </w:rPr>
              <w:t xml:space="preserve"> Федеральными органами исполнительной власти (Минздрав России, МВД России, Минпромторг России, ФНС Росси, ФМБА, Роспотребнадзор, Росреестр, Роспатент, Росаккредитация, Росстандарт, Рособрнадзор, ФТС России, Федеральное Казначейство)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lang w:val="ru-RU"/>
              </w:rPr>
            </w:pPr>
            <w:r>
              <w:rPr>
                <w:lang w:val="ru-RU"/>
              </w:rPr>
              <w:t>31.12.2017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1849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Проведен внутренний управленческий аудит, в результате которого определены возможности автоматизации бизнес-процессов по осуществляемым видам контрольно/надзорной деятельности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lang w:val="ru-RU"/>
              </w:rPr>
            </w:pPr>
            <w:r>
              <w:rPr>
                <w:lang w:val="ru-RU"/>
              </w:rPr>
              <w:t>30.06.2017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1849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В АИС Росздравнадзора «в личном кабинете» должностного лица» исключен ручной ввод сведений о проверяемых субъектах (объектах), если сведения возможно получить в электронном виде с использованием СМЭВ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lang w:val="ru-RU"/>
              </w:rPr>
            </w:pPr>
            <w:r>
              <w:rPr>
                <w:lang w:val="ru-RU"/>
              </w:rPr>
              <w:t>30.06.2017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К.Г. Поспелов</w:t>
            </w:r>
          </w:p>
        </w:tc>
      </w:tr>
      <w:tr>
        <w:trPr>
          <w:trHeight w:hRule="exact" w:val="1009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АИС Росздравнадзора внесены категории риска и критерии отнесения к ним подконтрольных объектов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lang w:val="ru-RU"/>
              </w:rPr>
            </w:pPr>
            <w:r>
              <w:rPr>
                <w:lang w:val="ru-RU"/>
              </w:rPr>
              <w:t>30.06.2017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К.Г. Поспелов</w:t>
            </w:r>
          </w:p>
        </w:tc>
      </w:tr>
      <w:tr>
        <w:trPr>
          <w:trHeight w:hRule="exact" w:val="5261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С использованием АИС Росздравнадзора распределены в полном объеме подконтрольные объекты, осуществляющие деятельность в сфере здравоохранения, по категориям риска: организации, осуществляющие медицинскую деятельность; организации, осуществляющие оптовую торговлю лекарственными средствами; розничную торговлю лекарственными препаратами, производство лекарственных средств, </w:t>
            </w:r>
            <w:r>
              <w:rPr>
                <w:sz w:val="26"/>
                <w:szCs w:val="26"/>
                <w:lang w:val="ru-RU"/>
              </w:rPr>
              <w:t>оборот наркотических средств, психотропных веществ и их прекурсоров и культивирование наркосодержащих растений; организации, осуществляющие производство, техническое обслуживание, оборот медицинских изделий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lang w:val="ru-RU"/>
              </w:rPr>
            </w:pPr>
            <w:r>
              <w:rPr>
                <w:lang w:val="ru-RU"/>
              </w:rPr>
              <w:t>30.06.2017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3702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В АИС Росздравнадзора внедрены алгоритмы расчета показателей результативности и эффективности КНМ  и обеспечена готовность к представлению в электронном виде с использованием СМЭВ в ЕРП учетных данных о проверках, и в ГАСУ сведений о КНМ и отчетности по показателям результативности и эффективности деятельности Росздравнадзора, с учетом требований к целостности и достоверности передаваемых данных</w:t>
            </w:r>
          </w:p>
          <w:p>
            <w:pPr>
              <w:ind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lang w:val="ru-RU"/>
              </w:rPr>
            </w:pPr>
            <w:r>
              <w:rPr>
                <w:lang w:val="ru-RU"/>
              </w:rPr>
              <w:t>31.12.2017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lang w:val="ru-RU"/>
              </w:rPr>
            </w:pPr>
            <w:r>
              <w:rPr>
                <w:lang w:val="ru-RU"/>
              </w:rPr>
              <w:t>К.Г. Поспелов</w:t>
            </w:r>
          </w:p>
        </w:tc>
      </w:tr>
      <w:tr>
        <w:trPr>
          <w:trHeight w:hRule="exact" w:val="5392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На основе применения Стандарта информатизации КНД в подсистеме «Проверки» АИС Росздравнадзора созданы и используются "Личные кабинеты должностного лица" для планирования и исполнения контрольно-надзорных мероприятий с использованием исчерпывающих реестров проверяемых объектов, с учетом требований Системы управления рисками ведомств, в том числе для формирования  ежегодного плана проверок юридических лиц и индивидуальных предпринимателей, осуществляющих деятельность в сфере здравоохранения, на 2018 год. Инспекторы вносят данные о проверках в подсистему «Проверки» АИС Росздравнадзора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101" w:hanging="101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К.Г. Поспелов</w:t>
            </w:r>
          </w:p>
        </w:tc>
      </w:tr>
      <w:tr>
        <w:trPr>
          <w:trHeight w:hRule="exact" w:val="228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На основе утвержденного Стандарта комплексной профилактики нарушений обязательных требований для ФОИВ (разрабатывается Минэкономразвития России), в Росздравнадзоре внедрена возможность досудебного обжалования в электронном виде, в том числе, с использованием "Личного кабинета"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lang w:val="ru-RU"/>
              </w:rPr>
              <w:t>М.В. Опимах</w:t>
            </w:r>
          </w:p>
        </w:tc>
      </w:tr>
      <w:tr>
        <w:trPr>
          <w:trHeight w:hRule="exact" w:val="1848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Реализован механизм самостоятельной оценки подконтрольным субъектом соблюдения предъявляемых к нему обязательных требований с использованием "Личного кабинета"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2986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С использованием АИС Росздравнадзора и официального сайта Росздравнадзора</w:t>
            </w:r>
            <w:r>
              <w:rPr>
                <w:sz w:val="26"/>
                <w:szCs w:val="26"/>
                <w:lang w:val="ru-RU"/>
              </w:rPr>
              <w:t xml:space="preserve"> обеспечена доступность и понятность информации для подконтрольных лиц, осуществляющих деятельность в сфере здравоохранения, о присвоенных им категориях риска, критериях отнесения к ним, а также возможность просмотра перечней обязательных требований к объектам проверки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3396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Развитие (первая очередь) АИС Росздравнадзора (в части исполнения контрольно-надзорных функций) до Базового уровня Стандарта информатизации КНД, предполагающее обеспечение комплексной автоматизации внедрения современных механизмов и инструментов управления эффективностью деятельности Росздравнадзора, а также осуществление консолидации информации об объектах надзора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8947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Интегрирование с ведомственными информационными системами:</w:t>
            </w:r>
          </w:p>
          <w:p>
            <w:pPr>
              <w:pStyle w:val="a7"/>
              <w:numPr>
                <w:ilvl w:val="0"/>
                <w:numId w:val="30"/>
              </w:num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единый государственный реестр юридических лиц (взаимодействие через СМЭВ с ФНС России);</w:t>
            </w:r>
          </w:p>
          <w:p>
            <w:pPr>
              <w:pStyle w:val="a7"/>
              <w:numPr>
                <w:ilvl w:val="0"/>
                <w:numId w:val="30"/>
              </w:num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единый государственный реестр индивидуальных предпринимателей (взаимодействие через СМЭВ с ФНС России);</w:t>
            </w:r>
          </w:p>
          <w:p>
            <w:pPr>
              <w:pStyle w:val="a7"/>
              <w:numPr>
                <w:ilvl w:val="0"/>
                <w:numId w:val="30"/>
              </w:num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государственная автоматизированная информационная система "Управление" (представление сведений через СМЭВ);</w:t>
            </w:r>
          </w:p>
          <w:p>
            <w:pPr>
              <w:pStyle w:val="a7"/>
              <w:numPr>
                <w:ilvl w:val="0"/>
                <w:numId w:val="30"/>
              </w:numPr>
              <w:ind w:left="43" w:firstLine="284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федеральная государственная информационная система "Единый портал государственных и муниципальных услуг (функций)" (информационное взаимодействие через СМЭВ с «Личным кабинетом»;</w:t>
            </w:r>
          </w:p>
          <w:p>
            <w:pPr>
              <w:pStyle w:val="a7"/>
              <w:numPr>
                <w:ilvl w:val="0"/>
                <w:numId w:val="30"/>
              </w:num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единый реестр проверок (взаимодействие через СМЭВ Генеральной прокуратурой Российской Федерации и органами Прокуратуры субъектов Российской Федерации);</w:t>
            </w:r>
          </w:p>
          <w:p>
            <w:pPr>
              <w:pStyle w:val="a7"/>
              <w:numPr>
                <w:ilvl w:val="0"/>
                <w:numId w:val="30"/>
              </w:num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единый реестр субъектов малого и среднего предпринимательства (взаимодействие через СМЭВ с ФНС России)</w:t>
            </w:r>
          </w:p>
          <w:p>
            <w:pPr>
              <w:shd w:val="clear" w:color="auto" w:fill="FFFFFF"/>
              <w:spacing w:line="283" w:lineRule="exact"/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2285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С использованием АИС Росздравнадзора и официального сайта Росздравнадзора обеспечена публичность и доступность показателей результативности и эффективности контроля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по контролируемым видам деятельности в сфере здравоохранения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3849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На официальном сайте Росздравнадзора в информационно-телекоммуникационной сети "Интернет" размещены исчерпывающие перечни нормативных правовых актов, устанавливающих обязательные требования, соблюдение которых оценивается при проведении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государственного контроля качества и безопасности медицинской деятельности, федерального государственного надзора в сфере обращения лекарственных средств, государственного контроля за обращением медицинских изделий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2862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По федеральному государственному надзору за обращением лекарственных средств, государственному контролю за обращением медицинских изделий реализован механизм самостоятельной оценки подконтрольным субъектом соблюдения предъявляемых к нему обязательных требований с использованием "Личного кабинета"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31.12.2017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725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Этап I</w:t>
            </w:r>
            <w:r>
              <w:rPr>
                <w:rFonts w:eastAsia="Calibri"/>
                <w:sz w:val="26"/>
                <w:szCs w:val="26"/>
              </w:rPr>
              <w:t>I</w:t>
            </w:r>
            <w:r>
              <w:rPr>
                <w:rFonts w:eastAsia="Calibri"/>
                <w:sz w:val="26"/>
                <w:szCs w:val="26"/>
                <w:lang w:val="ru-RU"/>
              </w:rPr>
              <w:t xml:space="preserve"> (201</w:t>
            </w:r>
            <w:r>
              <w:rPr>
                <w:rFonts w:eastAsia="Calibri"/>
                <w:sz w:val="26"/>
                <w:szCs w:val="26"/>
              </w:rPr>
              <w:t xml:space="preserve">8 </w:t>
            </w:r>
            <w:r>
              <w:rPr>
                <w:rFonts w:eastAsia="Calibri"/>
                <w:sz w:val="26"/>
                <w:szCs w:val="26"/>
                <w:lang w:val="ru-RU"/>
              </w:rPr>
              <w:t>г.)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2001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В АИС Росздравнадзора реализован и используется механизм планирования и учета проведения контрольно-надзорными органами профилактических мероприятий, направленных на соблюдение проверяемыми лицами обязательных требований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30.04.2018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1859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Исключена возможность проведения проверки без получения учетного идентификатора (номера) в электронном паспорте проверки ЕРП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01.08.2018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167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Завершена адаптация АИС Росздравнадзора с ЕПГУ под требования стандарта взаимодействия информационных систем в единой информационной среде контрольно-надзорной деятельности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30.09.2018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3553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83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В АИС Росздравнадзора реализовано использование  электронных паспортов проверки, Проверочных листов на базе перечней обязательных требований к поднадзорным объектам. Результаты заполнения Проверочных листов инспектором, либо самим поднадзорным субъектом в "Личном кабинете" используются в Росздравнадзоре для присвоения и актуализации информации об объектах проверок и присвоенных им категориях рисков и классах опасности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30.07.2018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1987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78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Промышленная эксплуатация «Личного кабинета» проверяемого лица на ЕПГУ, доступен функционал электронного декларирования «Электронный инспектор» в целях проведения самоконтроля.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  <w:r>
              <w:rPr>
                <w:lang w:val="ru-RU"/>
              </w:rPr>
              <w:t>31.12.2018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1858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78" w:lineRule="exact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В АИС Росздравнадзора разработана и внедрена «динамическая модель» управления категориями риска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  <w:r>
              <w:rPr>
                <w:lang w:val="ru-RU"/>
              </w:rPr>
              <w:t>31.12.2018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4677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78" w:lineRule="exact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В Едином личном кабинете на ЕПГУ совместно с Минкомсвязи России реализована доступность функционала взаимодействия проверяемых субъектов с Росздравнадзором по соответствующим видам контроля и надзора: (электронного декларирования «Электронный инспектор», информирования поднадзорного лица о присвоенных объектам категориях риска и классах опасностей, информирования проверяемого лица о планируемых в его отношении проверках, с возможностью просмотра перечней обязательных требований к объектам проверки)</w:t>
            </w:r>
          </w:p>
          <w:p>
            <w:pPr>
              <w:shd w:val="clear" w:color="auto" w:fill="FFFFFF"/>
              <w:spacing w:line="278" w:lineRule="exact"/>
              <w:jc w:val="both"/>
              <w:rPr>
                <w:rFonts w:eastAsia="Calibri"/>
                <w:sz w:val="26"/>
                <w:szCs w:val="26"/>
                <w:lang w:val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31.08.2018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2568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78" w:lineRule="exact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Внедрены в АИС Росздравнадзора алгоритмы расчета показателей результативности и эффективности КНМ на основании Базовой модели Минэкономразвития России, и автоматическая отправка данных расчета и первичных данных о проведенных КНМ в ГАС «Управление» с использованием СМЭВ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30.07.2018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3130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78" w:lineRule="exact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Реализована вторая очередь АИС Росздравнадзора (в части исполнения контрольно-надзорных функций) до Среднего уровня Стандарта информатизации КНД, предполагающее обеспечение комплексной автоматизации внедрения современных механизмов и инструментов управления эффективностью деятельности Росздравнадзора, а также осуществление консолидации информации об объектах надзора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3560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78" w:lineRule="exact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Внедрен автоматизированный механизм сбора и проверки достоверности, полноты и точности расчета первичных данных, верификация источников при расчете фактических показателей результативности и эффективности контрольно-надзорной деятельности по контролируемым видам деятельности в сфере здравоохранения с использованием АИС Росздравнадзора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2001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78" w:lineRule="exact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Обеспечен автоматизированный анализ результативности и эффективности контроля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по контролируемым видам деятельности в сфере здравоохранения с использованием АИС Росздравнадзора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5099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78" w:lineRule="exact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 xml:space="preserve">В личном кабинете проверяемого лица на 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Едином портале государственных услуг  (совместно с Минкомсвязи России) размещены исчерпывающие перечни нормативных правовых актов, устанавливающих обязательные требования, соблюдение которых оценивается при проведении государственного контроля качества и безопасности медицинской деятельности, федерального государственного надзора в сфере обращения лекарственных средств, государственного контроля за обращением медицинских изделий, соблюдение которых является наиболее значимым с точки зрения недопущения возникновения угрозы причинения вреда здоровью и жизни граждан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228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78" w:lineRule="exact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В АИС Росздравнадзора внедрена система регулярной переоценки рисков в зависимости от фактического распределения ущерба по категориям риска, в том числе с использованием технологий работы с массивами больших данных (</w:t>
            </w:r>
            <w:r>
              <w:rPr>
                <w:rFonts w:eastAsia="Calibri"/>
                <w:sz w:val="26"/>
                <w:szCs w:val="26"/>
              </w:rPr>
              <w:t>Big</w:t>
            </w:r>
            <w:r>
              <w:rPr>
                <w:rFonts w:eastAsia="Calibri"/>
                <w:sz w:val="26"/>
                <w:szCs w:val="26"/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Data</w:t>
            </w:r>
            <w:r>
              <w:rPr>
                <w:rFonts w:eastAsia="Calibri"/>
                <w:sz w:val="26"/>
                <w:szCs w:val="26"/>
                <w:lang w:val="ru-RU"/>
              </w:rPr>
              <w:t>), с учетом рекомендаций ОЭСР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31.12.2018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725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78" w:lineRule="exact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Этап I</w:t>
            </w:r>
            <w:r>
              <w:rPr>
                <w:rFonts w:eastAsia="Calibri"/>
                <w:sz w:val="26"/>
                <w:szCs w:val="26"/>
              </w:rPr>
              <w:t>II</w:t>
            </w:r>
            <w:r>
              <w:rPr>
                <w:rFonts w:eastAsia="Calibri"/>
                <w:sz w:val="26"/>
                <w:szCs w:val="26"/>
                <w:lang w:val="ru-RU"/>
              </w:rPr>
              <w:t xml:space="preserve"> (201</w:t>
            </w:r>
            <w:r>
              <w:rPr>
                <w:rFonts w:eastAsia="Calibri"/>
                <w:sz w:val="26"/>
                <w:szCs w:val="26"/>
              </w:rPr>
              <w:t>9</w:t>
            </w:r>
            <w:r>
              <w:rPr>
                <w:rFonts w:eastAsia="Calibri"/>
                <w:sz w:val="26"/>
                <w:szCs w:val="26"/>
                <w:lang w:val="ru-RU"/>
              </w:rPr>
              <w:t>-20</w:t>
            </w:r>
            <w:r>
              <w:rPr>
                <w:rFonts w:eastAsia="Calibri"/>
                <w:sz w:val="26"/>
                <w:szCs w:val="26"/>
              </w:rPr>
              <w:t>25</w:t>
            </w:r>
            <w:r>
              <w:rPr>
                <w:rFonts w:eastAsia="Calibri"/>
                <w:sz w:val="26"/>
                <w:szCs w:val="26"/>
                <w:lang w:val="ru-RU"/>
              </w:rPr>
              <w:t xml:space="preserve"> гг.)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26"/>
              <w:jc w:val="center"/>
              <w:rPr>
                <w:sz w:val="26"/>
                <w:szCs w:val="26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64"/>
              <w:rPr>
                <w:sz w:val="26"/>
                <w:szCs w:val="26"/>
                <w:lang w:val="ru-RU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</w:p>
        </w:tc>
      </w:tr>
      <w:tr>
        <w:trPr>
          <w:trHeight w:hRule="exact" w:val="3560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78" w:lineRule="exact"/>
              <w:jc w:val="both"/>
              <w:rPr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В АИС Росздравнадзора реализован и используется механизм оформления организационно-распорядительных документов по проверкам и Актов проверки в электронном виде, с использованием справочных значений ОТ, видов нарушений, ущерба и видов ответственности, размещенных в Единой модели справочников ЕИС КНД. Исключение оформления документов при отсутствии в справочниках актуализированных значений.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  <w:r>
              <w:rPr>
                <w:lang w:val="ru-RU"/>
              </w:rPr>
              <w:t>01.09.2019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2263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spacing w:line="278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На основании результатов самообследования в «Личном кабинете» проверяемого лица на ЕПГУ путем анкетирования по видам деятельности проверяемых субъектов в информационных системах Росздравнадзора проводится актуализация данных реестров объектов, присвоенных им классов опасности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  <w:r>
              <w:rPr>
                <w:lang w:val="ru-RU"/>
              </w:rPr>
              <w:t>31.08.2019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ind w:left="101" w:hanging="101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2551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firstLine="82"/>
              <w:jc w:val="both"/>
              <w:rPr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В Росздравнадзоре утверждены и используются электронные декларации и проверочные листы по всем видам контроля (надзора), в том числе в электронном виде в "Личном кабинете" проверяемого лица на ЕПГУ и в подсистеме «Проверки» АИС Росздравнадзора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  <w:r>
              <w:rPr>
                <w:lang w:val="ru-RU"/>
              </w:rPr>
              <w:t>31.08.2019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1704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firstLine="82"/>
              <w:jc w:val="both"/>
              <w:rPr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В Росздравнадзоре внедрен механизм обучения (в том числе самообучения) подконтрольных лиц, в том числе с использованием "Личного кабинета" проверяемого лица на ЕПГУ</w:t>
            </w:r>
          </w:p>
          <w:p>
            <w:pPr>
              <w:shd w:val="clear" w:color="auto" w:fill="FFFFFF"/>
              <w:spacing w:line="278" w:lineRule="exact"/>
              <w:ind w:firstLine="82"/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  <w:r>
              <w:rPr>
                <w:lang w:val="ru-RU"/>
              </w:rPr>
              <w:t>31.08.2019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3418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ind w:firstLine="82"/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Реализована третья очередь АИС Росздравнадзора (в части исполнения контрольно-надзорных функций) до Высокого уровня Стандарта информатизации КНД, предполагающее обеспечение комплексной автоматизации внедрения современных механизмов и инструментов управления эффективностью деятельности Росздравнадзора, а также осуществление консолидации информации об объектах надзора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  <w:r>
              <w:rPr>
                <w:lang w:val="ru-RU"/>
              </w:rPr>
              <w:t>01.12.2019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3962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На основании утвержденных индикаторов рисков при осуществлении внеплановых проверок</w:t>
            </w:r>
            <w:r>
              <w:rPr>
                <w:lang w:val="ru-RU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ru-RU"/>
              </w:rPr>
              <w:t>юридических лиц и индивидуальных предпринимателей, осуществляющих деятельность в сфере здравоохранения (медицинская деятельность, оборот лекарственных препаратов, оборот медицинских изделий), доработана АИС Росздравнадзора, позволяющая собирать данные об указанных индикаторах в автоматизированном режиме, в том числе отслеживать их изменение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  <w:r>
              <w:rPr>
                <w:lang w:val="ru-RU"/>
              </w:rPr>
              <w:t>01.12.2019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3135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Утверждены и используются при проведении контрольных мероприятий проверочные листы по государственному контролю качества и безопасности медицинской деятельности, федеральному государственному надзору в сфере обращения лекарственных средств, государственному контролю за обращением медицинских изделий, в том числе в электронном виде в АИС Росздравнадзора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  <w:r>
              <w:rPr>
                <w:lang w:val="ru-RU"/>
              </w:rPr>
              <w:t>01.12.2019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3391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Обеспечена автоматизация расчета показателей результативности и эффективности по государственному контролю качества и безопасности медицинской деятельности, федеральному государственному надзору в сфере обращения лекарственных средств, государственному контролю за обращением медицинских изделий, позволяющая анализировать указанные данные в автоматическом режиме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  <w:r>
              <w:rPr>
                <w:lang w:val="ru-RU"/>
              </w:rPr>
              <w:t>01.12.2019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1568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В Едином личном кабинете на ЕПГУ (совместно с Минкомсвязи России реализован расширенный функционал взаимодействия с проверяемыми субъектами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  <w:r>
              <w:rPr>
                <w:lang w:val="ru-RU"/>
              </w:rPr>
              <w:t>30.11.2019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2271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В АИС Росздравнадзора внедрены и используются межведомственные карты рисков и проводятся международные сопоставления эффективности систем управления рисками (ФНС России, ФМБА, Роспотребнадзор, ФФОМС)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  <w:r>
              <w:rPr>
                <w:lang w:val="ru-RU"/>
              </w:rPr>
              <w:t>01.12.2019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  <w:tr>
        <w:trPr>
          <w:trHeight w:hRule="exact" w:val="4127"/>
        </w:trPr>
        <w:tc>
          <w:tcPr>
            <w:tcW w:w="1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pStyle w:val="a7"/>
              <w:numPr>
                <w:ilvl w:val="0"/>
                <w:numId w:val="8"/>
              </w:numPr>
              <w:shd w:val="clear" w:color="auto" w:fill="FFFFFF"/>
              <w:rPr>
                <w:lang w:val="ru-RU"/>
              </w:rPr>
            </w:pPr>
          </w:p>
        </w:tc>
        <w:tc>
          <w:tcPr>
            <w:tcW w:w="5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jc w:val="both"/>
              <w:rPr>
                <w:rFonts w:eastAsia="Calibri"/>
                <w:sz w:val="26"/>
                <w:szCs w:val="26"/>
                <w:lang w:val="ru-RU"/>
              </w:rPr>
            </w:pPr>
            <w:r>
              <w:rPr>
                <w:rFonts w:eastAsia="Calibri"/>
                <w:sz w:val="26"/>
                <w:szCs w:val="26"/>
                <w:lang w:val="ru-RU"/>
              </w:rPr>
              <w:t>В АИС Росздравнадзора работает система "умного" государственного регулирования, позволяющая на основе мониторинга, данных "интернета вещей" и анализа результатов применения риск-ориентированного подхода формировать и корректировать показатели и мероприятия документов стратегического планирования, осуществлять выбор форм государственного регулирования, устанавливать обязательные требования, принимать взвешенные управленческие решения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331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контрольная точка результата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  <w:r>
              <w:rPr>
                <w:lang w:val="ru-RU"/>
              </w:rPr>
              <w:t>01.12.2019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ind w:left="259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Е.М. Астапенко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В.В. Косенко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И.В. Крупнова 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А.Н. Шаронов</w:t>
            </w:r>
          </w:p>
          <w:p>
            <w:pPr>
              <w:shd w:val="clear" w:color="auto" w:fill="FFFFFF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Опимах</w:t>
            </w:r>
          </w:p>
          <w:p>
            <w:pPr>
              <w:shd w:val="clear" w:color="auto" w:fill="FFFFFF"/>
              <w:rPr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К.Г. Поспелов</w:t>
            </w:r>
          </w:p>
        </w:tc>
      </w:tr>
    </w:tbl>
    <w:tbl>
      <w:tblPr>
        <w:tblW w:w="15638" w:type="dxa"/>
        <w:jc w:val="center"/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38"/>
      </w:tblGrid>
      <w:tr>
        <w:trPr>
          <w:cantSplit/>
          <w:trHeight w:val="4455"/>
          <w:jc w:val="center"/>
        </w:trPr>
        <w:tc>
          <w:tcPr>
            <w:tcW w:w="15638" w:type="dxa"/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vAlign w:val="center"/>
          </w:tcPr>
          <w:p>
            <w:pPr>
              <w:jc w:val="center"/>
              <w:rPr>
                <w:rFonts w:eastAsia="Arial Unicode MS"/>
                <w:b/>
                <w:sz w:val="26"/>
                <w:szCs w:val="26"/>
                <w:lang w:val="ru-RU"/>
              </w:rPr>
            </w:pPr>
            <w:r>
              <w:rPr>
                <w:rFonts w:eastAsia="Arial Unicode MS"/>
                <w:b/>
                <w:sz w:val="26"/>
                <w:szCs w:val="26"/>
                <w:lang w:val="ru-RU"/>
              </w:rPr>
              <w:lastRenderedPageBreak/>
              <w:t>4. БЮДЖЕТ ПРОЕКТА*</w:t>
            </w:r>
          </w:p>
          <w:p>
            <w:pPr>
              <w:jc w:val="both"/>
              <w:rPr>
                <w:rFonts w:eastAsia="Arial Unicode MS"/>
                <w:b/>
                <w:sz w:val="26"/>
                <w:szCs w:val="26"/>
                <w:lang w:val="ru-RU"/>
              </w:rPr>
            </w:pPr>
          </w:p>
          <w:tbl>
            <w:tblPr>
              <w:tblW w:w="15514" w:type="dxa"/>
              <w:jc w:val="center"/>
              <w:shd w:val="clear" w:color="auto" w:fill="FFFFFF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354"/>
              <w:gridCol w:w="1095"/>
              <w:gridCol w:w="1039"/>
              <w:gridCol w:w="1021"/>
              <w:gridCol w:w="1012"/>
              <w:gridCol w:w="1012"/>
              <w:gridCol w:w="956"/>
              <w:gridCol w:w="990"/>
              <w:gridCol w:w="1052"/>
              <w:gridCol w:w="1983"/>
            </w:tblGrid>
            <w:tr>
              <w:trPr>
                <w:cantSplit/>
                <w:trHeight w:val="20"/>
                <w:jc w:val="center"/>
              </w:trPr>
              <w:tc>
                <w:tcPr>
                  <w:tcW w:w="172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80" w:type="dxa"/>
                    <w:left w:w="57" w:type="dxa"/>
                    <w:bottom w:w="80" w:type="dxa"/>
                    <w:right w:w="57" w:type="dxa"/>
                  </w:tcMar>
                  <w:vAlign w:val="center"/>
                  <w:hideMark/>
                </w:tcPr>
                <w:p>
                  <w:pPr>
                    <w:jc w:val="both"/>
                    <w:rPr>
                      <w:rFonts w:eastAsia="Arial Unicode MS"/>
                      <w:b/>
                      <w:bCs/>
                      <w:i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b/>
                      <w:sz w:val="26"/>
                      <w:szCs w:val="26"/>
                      <w:lang w:val="ru-RU"/>
                    </w:rPr>
                    <w:t>Источники финансирования</w:t>
                  </w:r>
                </w:p>
              </w:tc>
              <w:tc>
                <w:tcPr>
                  <w:tcW w:w="2634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>
                  <w:pPr>
                    <w:jc w:val="both"/>
                    <w:rPr>
                      <w:rFonts w:eastAsia="Arial Unicode MS"/>
                      <w:b/>
                      <w:bCs/>
                      <w:i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b/>
                      <w:sz w:val="26"/>
                      <w:szCs w:val="26"/>
                      <w:lang w:val="ru-RU"/>
                    </w:rPr>
                    <w:t>Год реализации</w:t>
                  </w:r>
                </w:p>
              </w:tc>
              <w:tc>
                <w:tcPr>
                  <w:tcW w:w="64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>
                  <w:pPr>
                    <w:jc w:val="both"/>
                    <w:rPr>
                      <w:rFonts w:eastAsia="Arial Unicode MS"/>
                      <w:b/>
                      <w:bCs/>
                      <w:i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b/>
                      <w:sz w:val="26"/>
                      <w:szCs w:val="26"/>
                      <w:lang w:val="ru-RU"/>
                    </w:rPr>
                    <w:t>Всего</w:t>
                  </w:r>
                </w:p>
              </w:tc>
            </w:tr>
            <w:tr>
              <w:trPr>
                <w:cantSplit/>
                <w:trHeight w:val="20"/>
                <w:jc w:val="center"/>
              </w:trPr>
              <w:tc>
                <w:tcPr>
                  <w:tcW w:w="172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>
                  <w:pPr>
                    <w:jc w:val="both"/>
                    <w:rPr>
                      <w:rFonts w:eastAsia="Arial Unicode MS"/>
                      <w:b/>
                      <w:bCs/>
                      <w:i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>
                  <w:pPr>
                    <w:jc w:val="both"/>
                    <w:rPr>
                      <w:rFonts w:eastAsia="Arial Unicode MS"/>
                      <w:b/>
                      <w:bCs/>
                      <w:i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b/>
                      <w:sz w:val="26"/>
                      <w:szCs w:val="26"/>
                      <w:lang w:val="ru-RU"/>
                    </w:rPr>
                    <w:t>2017</w:t>
                  </w:r>
                </w:p>
              </w:tc>
              <w:tc>
                <w:tcPr>
                  <w:tcW w:w="3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/>
                      <w:bCs/>
                      <w:i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b/>
                      <w:sz w:val="26"/>
                      <w:szCs w:val="26"/>
                      <w:lang w:val="ru-RU"/>
                    </w:rPr>
                    <w:t>2018</w:t>
                  </w:r>
                </w:p>
              </w:tc>
              <w:tc>
                <w:tcPr>
                  <w:tcW w:w="3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/>
                      <w:bCs/>
                      <w:i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b/>
                      <w:sz w:val="26"/>
                      <w:szCs w:val="26"/>
                      <w:lang w:val="ru-RU"/>
                    </w:rPr>
                    <w:t>2019</w:t>
                  </w:r>
                </w:p>
              </w:tc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/>
                      <w:bCs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b/>
                      <w:bCs/>
                      <w:sz w:val="26"/>
                      <w:szCs w:val="26"/>
                      <w:lang w:val="ru-RU"/>
                    </w:rPr>
                    <w:t>2020</w:t>
                  </w:r>
                </w:p>
              </w:tc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/>
                      <w:bCs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b/>
                      <w:bCs/>
                      <w:sz w:val="26"/>
                      <w:szCs w:val="26"/>
                      <w:lang w:val="ru-RU"/>
                    </w:rPr>
                    <w:t>2021</w:t>
                  </w:r>
                </w:p>
              </w:tc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/>
                      <w:bCs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b/>
                      <w:bCs/>
                      <w:sz w:val="26"/>
                      <w:szCs w:val="26"/>
                      <w:lang w:val="ru-RU"/>
                    </w:rPr>
                    <w:t>2022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/>
                      <w:bCs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b/>
                      <w:bCs/>
                      <w:sz w:val="26"/>
                      <w:szCs w:val="26"/>
                      <w:lang w:val="ru-RU"/>
                    </w:rPr>
                    <w:t>2023</w:t>
                  </w:r>
                </w:p>
              </w:tc>
              <w:tc>
                <w:tcPr>
                  <w:tcW w:w="3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/>
                      <w:bCs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b/>
                      <w:bCs/>
                      <w:sz w:val="26"/>
                      <w:szCs w:val="26"/>
                      <w:lang w:val="ru-RU"/>
                    </w:rPr>
                    <w:t>2024</w:t>
                  </w:r>
                </w:p>
              </w:tc>
              <w:tc>
                <w:tcPr>
                  <w:tcW w:w="640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>
                  <w:pPr>
                    <w:jc w:val="both"/>
                    <w:rPr>
                      <w:rFonts w:eastAsia="Arial Unicode MS"/>
                      <w:b/>
                      <w:bCs/>
                      <w:i/>
                      <w:sz w:val="26"/>
                      <w:szCs w:val="26"/>
                      <w:lang w:val="ru-RU"/>
                    </w:rPr>
                  </w:pPr>
                </w:p>
              </w:tc>
            </w:tr>
            <w:tr>
              <w:trPr>
                <w:cantSplit/>
                <w:trHeight w:val="341"/>
                <w:jc w:val="center"/>
              </w:trPr>
              <w:tc>
                <w:tcPr>
                  <w:tcW w:w="1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80" w:type="dxa"/>
                    <w:left w:w="57" w:type="dxa"/>
                    <w:bottom w:w="80" w:type="dxa"/>
                    <w:right w:w="57" w:type="dxa"/>
                  </w:tcMar>
                  <w:vAlign w:val="center"/>
                  <w:hideMark/>
                </w:tcPr>
                <w:p>
                  <w:pPr>
                    <w:jc w:val="both"/>
                    <w:rPr>
                      <w:rFonts w:eastAsia="Arial Unicode MS"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sz w:val="26"/>
                      <w:szCs w:val="26"/>
                      <w:lang w:val="ru-RU"/>
                    </w:rPr>
                    <w:t>Бюджетные источники, млн. руб.</w:t>
                  </w: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33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32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33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64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</w:p>
              </w:tc>
            </w:tr>
            <w:tr>
              <w:trPr>
                <w:cantSplit/>
                <w:trHeight w:val="539"/>
                <w:jc w:val="center"/>
              </w:trPr>
              <w:tc>
                <w:tcPr>
                  <w:tcW w:w="1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80" w:type="dxa"/>
                    <w:left w:w="57" w:type="dxa"/>
                    <w:bottom w:w="80" w:type="dxa"/>
                    <w:right w:w="57" w:type="dxa"/>
                  </w:tcMar>
                  <w:vAlign w:val="center"/>
                  <w:hideMark/>
                </w:tcPr>
                <w:p>
                  <w:pPr>
                    <w:rPr>
                      <w:rFonts w:eastAsia="Arial Unicode MS"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sz w:val="26"/>
                      <w:szCs w:val="26"/>
                      <w:lang w:val="ru-RU"/>
                    </w:rPr>
                    <w:t>Внебюджетные источники, млн. руб.</w:t>
                  </w: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center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  <w:t>-</w:t>
                  </w:r>
                </w:p>
              </w:tc>
              <w:tc>
                <w:tcPr>
                  <w:tcW w:w="3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center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  <w:t>-</w:t>
                  </w:r>
                </w:p>
              </w:tc>
              <w:tc>
                <w:tcPr>
                  <w:tcW w:w="3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center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  <w:t>-</w:t>
                  </w:r>
                </w:p>
              </w:tc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center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  <w:t>-</w:t>
                  </w:r>
                </w:p>
              </w:tc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center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  <w:t>-</w:t>
                  </w:r>
                </w:p>
              </w:tc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center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  <w:t>-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center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  <w:t>-</w:t>
                  </w:r>
                </w:p>
              </w:tc>
              <w:tc>
                <w:tcPr>
                  <w:tcW w:w="3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center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  <w:t>-</w:t>
                  </w:r>
                </w:p>
              </w:tc>
              <w:tc>
                <w:tcPr>
                  <w:tcW w:w="6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center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</w:p>
              </w:tc>
            </w:tr>
            <w:tr>
              <w:trPr>
                <w:cantSplit/>
                <w:trHeight w:val="15"/>
                <w:jc w:val="center"/>
              </w:trPr>
              <w:tc>
                <w:tcPr>
                  <w:tcW w:w="1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80" w:type="dxa"/>
                    <w:left w:w="57" w:type="dxa"/>
                    <w:bottom w:w="80" w:type="dxa"/>
                    <w:right w:w="57" w:type="dxa"/>
                  </w:tcMar>
                  <w:vAlign w:val="center"/>
                  <w:hideMark/>
                </w:tcPr>
                <w:p>
                  <w:pPr>
                    <w:jc w:val="both"/>
                    <w:rPr>
                      <w:rFonts w:eastAsia="Arial Unicode MS"/>
                      <w:sz w:val="26"/>
                      <w:szCs w:val="26"/>
                      <w:lang w:val="ru-RU"/>
                    </w:rPr>
                  </w:pPr>
                  <w:r>
                    <w:rPr>
                      <w:rFonts w:eastAsia="Arial Unicode MS"/>
                      <w:sz w:val="26"/>
                      <w:szCs w:val="26"/>
                      <w:lang w:val="ru-RU"/>
                    </w:rPr>
                    <w:t>ИТОГО</w:t>
                  </w: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3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3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3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6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>
                  <w:pPr>
                    <w:jc w:val="both"/>
                    <w:rPr>
                      <w:rFonts w:eastAsia="Arial Unicode MS"/>
                      <w:bCs/>
                      <w:sz w:val="26"/>
                      <w:szCs w:val="26"/>
                      <w:lang w:val="ru-RU"/>
                    </w:rPr>
                  </w:pPr>
                </w:p>
              </w:tc>
            </w:tr>
          </w:tbl>
          <w:p>
            <w:pPr>
              <w:jc w:val="both"/>
              <w:rPr>
                <w:rFonts w:eastAsia="Arial Unicode MS"/>
                <w:sz w:val="16"/>
                <w:szCs w:val="16"/>
                <w:lang w:val="ru-RU"/>
              </w:rPr>
            </w:pPr>
          </w:p>
          <w:p>
            <w:pPr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* в рамках текущего финансирования Росздравнадзора</w:t>
            </w:r>
          </w:p>
          <w:p>
            <w:pPr>
              <w:jc w:val="both"/>
              <w:rPr>
                <w:rFonts w:eastAsia="Arial Unicode MS"/>
                <w:b/>
                <w:sz w:val="26"/>
                <w:szCs w:val="26"/>
                <w:lang w:val="ru-RU"/>
              </w:rPr>
            </w:pPr>
          </w:p>
        </w:tc>
      </w:tr>
    </w:tbl>
    <w:p>
      <w:pPr>
        <w:jc w:val="center"/>
        <w:rPr>
          <w:rFonts w:eastAsia="Arial Unicode MS"/>
          <w:b/>
          <w:sz w:val="26"/>
          <w:szCs w:val="26"/>
          <w:lang w:val="ru-RU"/>
        </w:rPr>
      </w:pPr>
    </w:p>
    <w:p>
      <w:pPr>
        <w:jc w:val="center"/>
        <w:rPr>
          <w:rFonts w:eastAsia="Arial Unicode MS"/>
          <w:b/>
          <w:sz w:val="26"/>
          <w:szCs w:val="26"/>
          <w:lang w:val="ru-RU"/>
        </w:rPr>
      </w:pPr>
      <w:r>
        <w:rPr>
          <w:rFonts w:eastAsia="Arial Unicode MS"/>
          <w:b/>
          <w:sz w:val="26"/>
          <w:szCs w:val="26"/>
          <w:lang w:val="ru-RU"/>
        </w:rPr>
        <w:t>5. КЛЮЧЕВЫЕ РИСКИ И ВОЗМОЖНОСТИ</w:t>
      </w:r>
    </w:p>
    <w:p>
      <w:pPr>
        <w:jc w:val="both"/>
        <w:rPr>
          <w:rFonts w:eastAsia="Arial Unicode MS"/>
          <w:b/>
          <w:sz w:val="26"/>
          <w:szCs w:val="26"/>
          <w:lang w:val="ru-RU"/>
        </w:rPr>
      </w:pP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617"/>
        <w:gridCol w:w="5152"/>
        <w:gridCol w:w="9848"/>
      </w:tblGrid>
      <w:tr>
        <w:trPr>
          <w:trHeight w:val="823"/>
        </w:trPr>
        <w:tc>
          <w:tcPr>
            <w:tcW w:w="617" w:type="dxa"/>
          </w:tcPr>
          <w:p>
            <w:pPr>
              <w:tabs>
                <w:tab w:val="left" w:pos="589"/>
              </w:tabs>
              <w:jc w:val="both"/>
              <w:rPr>
                <w:rFonts w:eastAsia="Arial Unicode MS"/>
                <w:b/>
                <w:bCs/>
                <w:sz w:val="28"/>
                <w:szCs w:val="28"/>
                <w:u w:color="000000"/>
                <w:lang w:val="ru-RU"/>
              </w:rPr>
            </w:pPr>
            <w:r>
              <w:rPr>
                <w:rFonts w:eastAsia="Arial Unicode MS"/>
                <w:b/>
                <w:bCs/>
                <w:sz w:val="28"/>
                <w:szCs w:val="28"/>
                <w:u w:color="000000"/>
                <w:lang w:val="ru-RU"/>
              </w:rPr>
              <w:t>№</w:t>
            </w:r>
          </w:p>
          <w:p>
            <w:pPr>
              <w:jc w:val="both"/>
              <w:rPr>
                <w:rFonts w:eastAsia="Arial Unicode MS"/>
                <w:b/>
                <w:sz w:val="26"/>
                <w:szCs w:val="26"/>
                <w:lang w:val="ru-RU"/>
              </w:rPr>
            </w:pPr>
            <w:r>
              <w:rPr>
                <w:rFonts w:eastAsia="Arial Unicode MS"/>
                <w:b/>
                <w:bCs/>
                <w:sz w:val="28"/>
                <w:szCs w:val="28"/>
                <w:u w:color="000000"/>
                <w:lang w:val="ru-RU"/>
              </w:rPr>
              <w:t>п/п</w:t>
            </w:r>
          </w:p>
        </w:tc>
        <w:tc>
          <w:tcPr>
            <w:tcW w:w="5152" w:type="dxa"/>
            <w:vAlign w:val="center"/>
          </w:tcPr>
          <w:p>
            <w:pPr>
              <w:jc w:val="both"/>
              <w:rPr>
                <w:rFonts w:eastAsia="Arial Unicode MS"/>
                <w:b/>
                <w:sz w:val="26"/>
                <w:szCs w:val="26"/>
                <w:lang w:val="ru-RU"/>
              </w:rPr>
            </w:pPr>
            <w:r>
              <w:rPr>
                <w:rFonts w:eastAsia="Arial Unicode MS"/>
                <w:b/>
                <w:bCs/>
                <w:sz w:val="28"/>
                <w:szCs w:val="28"/>
                <w:u w:color="000000"/>
                <w:lang w:val="ru-RU"/>
              </w:rPr>
              <w:t>Наименование риска/возможности</w:t>
            </w:r>
          </w:p>
        </w:tc>
        <w:tc>
          <w:tcPr>
            <w:tcW w:w="9848" w:type="dxa"/>
            <w:vAlign w:val="center"/>
          </w:tcPr>
          <w:p>
            <w:pPr>
              <w:tabs>
                <w:tab w:val="left" w:pos="589"/>
              </w:tabs>
              <w:jc w:val="both"/>
              <w:rPr>
                <w:rFonts w:eastAsia="Arial Unicode MS"/>
                <w:b/>
                <w:bCs/>
                <w:sz w:val="28"/>
                <w:szCs w:val="28"/>
                <w:u w:color="000000"/>
                <w:lang w:val="ru-RU"/>
              </w:rPr>
            </w:pPr>
            <w:r>
              <w:rPr>
                <w:rFonts w:eastAsia="Arial Unicode MS"/>
                <w:b/>
                <w:bCs/>
                <w:sz w:val="28"/>
                <w:szCs w:val="28"/>
                <w:u w:color="000000"/>
                <w:lang w:val="ru-RU"/>
              </w:rPr>
              <w:t>Мероприятия по предупреждению риска/</w:t>
            </w:r>
          </w:p>
          <w:p>
            <w:pPr>
              <w:jc w:val="both"/>
              <w:rPr>
                <w:rFonts w:eastAsia="Arial Unicode MS"/>
                <w:b/>
                <w:sz w:val="26"/>
                <w:szCs w:val="26"/>
                <w:lang w:val="ru-RU"/>
              </w:rPr>
            </w:pPr>
            <w:r>
              <w:rPr>
                <w:rFonts w:eastAsia="Arial Unicode MS"/>
                <w:b/>
                <w:bCs/>
                <w:sz w:val="28"/>
                <w:szCs w:val="28"/>
                <w:u w:color="000000"/>
                <w:lang w:val="ru-RU"/>
              </w:rPr>
              <w:t>реализации возможности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1</w:t>
            </w:r>
          </w:p>
        </w:tc>
        <w:tc>
          <w:tcPr>
            <w:tcW w:w="5152" w:type="dxa"/>
          </w:tcPr>
          <w:p>
            <w:pPr>
              <w:tabs>
                <w:tab w:val="left" w:pos="589"/>
              </w:tabs>
              <w:ind w:firstLine="289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Отсутствие исчерпывающих реестров подконтрольных объектов по отдельным видам деятельности как в Росздравнадзоре, так и в ФОИВах - потенциальных поставщиков информации/отсутствие электронных сервисов в СМЭВ.</w:t>
            </w:r>
          </w:p>
        </w:tc>
        <w:tc>
          <w:tcPr>
            <w:tcW w:w="9848" w:type="dxa"/>
          </w:tcPr>
          <w:p>
            <w:pPr>
              <w:ind w:firstLine="317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 xml:space="preserve">Ведение реестров в электронном виде, позволяющем передавать сведения в непрерывном режиме посредством СМЭВ (ведение реестра производителей лекарственных средств Минпромторгом России, лицензии по работе с радиоизотопными препаратами, лицензии на осуществление деятельности в области использования источников ионизирующего излучения, уведомительный характер начала осуществления деятельности по реализации медицинских изделий) 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2</w:t>
            </w:r>
          </w:p>
        </w:tc>
        <w:tc>
          <w:tcPr>
            <w:tcW w:w="5152" w:type="dxa"/>
          </w:tcPr>
          <w:p>
            <w:pPr>
              <w:tabs>
                <w:tab w:val="left" w:pos="589"/>
              </w:tabs>
              <w:ind w:firstLine="289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Отсутствие статистических данных, в формах, утвержденных нормативными правовыми актами. Недостоверная  статистика, представленная подконтрольными объектами</w:t>
            </w:r>
          </w:p>
        </w:tc>
        <w:tc>
          <w:tcPr>
            <w:tcW w:w="9848" w:type="dxa"/>
          </w:tcPr>
          <w:p>
            <w:pPr>
              <w:ind w:firstLine="317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Разработка мер, направленных на обеспечение достоверной статистики (независимый сбор данных, возможность их перепроверки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3</w:t>
            </w:r>
          </w:p>
        </w:tc>
        <w:tc>
          <w:tcPr>
            <w:tcW w:w="5152" w:type="dxa"/>
          </w:tcPr>
          <w:p>
            <w:pPr>
              <w:tabs>
                <w:tab w:val="left" w:pos="589"/>
              </w:tabs>
              <w:ind w:firstLine="289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 xml:space="preserve">Высокая стоимость системы управления </w:t>
            </w:r>
            <w:r>
              <w:rPr>
                <w:rFonts w:eastAsia="Arial Unicode MS"/>
                <w:sz w:val="26"/>
                <w:szCs w:val="26"/>
                <w:lang w:val="ru-RU"/>
              </w:rPr>
              <w:lastRenderedPageBreak/>
              <w:t>рисками, и как следствие, невозможность в полном объеме реализовать информатизацию всех мероприятий в рамках реформы контроля и надзора</w:t>
            </w:r>
          </w:p>
        </w:tc>
        <w:tc>
          <w:tcPr>
            <w:tcW w:w="9848" w:type="dxa"/>
          </w:tcPr>
          <w:p>
            <w:pPr>
              <w:ind w:firstLine="317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lastRenderedPageBreak/>
              <w:t xml:space="preserve">Определение приоритетов при построении систем управления рисками, расчет и </w:t>
            </w:r>
            <w:r>
              <w:rPr>
                <w:rFonts w:eastAsia="Arial Unicode MS"/>
                <w:sz w:val="26"/>
                <w:szCs w:val="26"/>
                <w:lang w:val="ru-RU"/>
              </w:rPr>
              <w:lastRenderedPageBreak/>
              <w:t>оформления ФЭО для выделения дополнительного финансирования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lastRenderedPageBreak/>
              <w:t>4</w:t>
            </w:r>
          </w:p>
        </w:tc>
        <w:tc>
          <w:tcPr>
            <w:tcW w:w="5152" w:type="dxa"/>
          </w:tcPr>
          <w:p>
            <w:pPr>
              <w:tabs>
                <w:tab w:val="left" w:pos="589"/>
              </w:tabs>
              <w:ind w:firstLine="289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Дублирование мероприятий программы с отдельными действующими поручениями Правительства Российской Федерации</w:t>
            </w:r>
          </w:p>
        </w:tc>
        <w:tc>
          <w:tcPr>
            <w:tcW w:w="9848" w:type="dxa"/>
          </w:tcPr>
          <w:p>
            <w:pPr>
              <w:ind w:firstLine="317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Подготовка обращения в проектный комитет с просьбой обращения в адрес Правительства Российской Федерации о снятии с контроля дублирующих мероприятий проекта и поручений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5</w:t>
            </w:r>
          </w:p>
        </w:tc>
        <w:tc>
          <w:tcPr>
            <w:tcW w:w="5152" w:type="dxa"/>
          </w:tcPr>
          <w:p>
            <w:pPr>
              <w:tabs>
                <w:tab w:val="left" w:pos="589"/>
              </w:tabs>
              <w:ind w:firstLine="289"/>
              <w:jc w:val="both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  <w:t>Затягивание сроков подготовки проектов правовых актов, предусматривающих изменение обязательных требований, внедрение риск-ориентированной модели планирования проверок юридических лиц и индивидуальных предпринимателей, переход на контроль с использованием проверочных листов</w:t>
            </w:r>
          </w:p>
        </w:tc>
        <w:tc>
          <w:tcPr>
            <w:tcW w:w="9848" w:type="dxa"/>
          </w:tcPr>
          <w:p>
            <w:pPr>
              <w:ind w:firstLine="317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Координация на уровне Правительства Российской Федерации, регулярное взаимодействие с ответственными ФОИВами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6</w:t>
            </w:r>
          </w:p>
        </w:tc>
        <w:tc>
          <w:tcPr>
            <w:tcW w:w="5152" w:type="dxa"/>
          </w:tcPr>
          <w:p>
            <w:pPr>
              <w:tabs>
                <w:tab w:val="left" w:pos="589"/>
              </w:tabs>
              <w:ind w:firstLine="289"/>
              <w:jc w:val="both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  <w:t>Наличие разногласий по вопросу актуализации и сокращения обязательных требований</w:t>
            </w:r>
          </w:p>
        </w:tc>
        <w:tc>
          <w:tcPr>
            <w:tcW w:w="9848" w:type="dxa"/>
          </w:tcPr>
          <w:p>
            <w:pPr>
              <w:ind w:firstLine="317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Участие в согласительных мероприятиях и экспертных обсуждениях должностными лицами (заместитель руководителя Росздравнадзора)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7</w:t>
            </w:r>
          </w:p>
        </w:tc>
        <w:tc>
          <w:tcPr>
            <w:tcW w:w="5152" w:type="dxa"/>
          </w:tcPr>
          <w:p>
            <w:pPr>
              <w:tabs>
                <w:tab w:val="left" w:pos="589"/>
              </w:tabs>
              <w:ind w:firstLine="289"/>
              <w:jc w:val="both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  <w:t>Контрольные мероприятия Росздравнадзора (результаты и методы подхода) могут быть истолкованы контролирующими органами (например, органами прокуратуры), в том числе работы по вопросу совершенствования обязательных требований, что в значительной мере обесценит работу Росздравнадзора</w:t>
            </w:r>
          </w:p>
        </w:tc>
        <w:tc>
          <w:tcPr>
            <w:tcW w:w="9848" w:type="dxa"/>
          </w:tcPr>
          <w:p>
            <w:pPr>
              <w:ind w:firstLine="317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Предусмотреть возможность участия в согласительных мероприятиях и экспертных обсуждениях должностных лиц органов прокуратуры с дальнейшим законодательным закреплением результатов обсуждений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8</w:t>
            </w:r>
          </w:p>
        </w:tc>
        <w:tc>
          <w:tcPr>
            <w:tcW w:w="5152" w:type="dxa"/>
          </w:tcPr>
          <w:p>
            <w:pPr>
              <w:tabs>
                <w:tab w:val="left" w:pos="589"/>
              </w:tabs>
              <w:ind w:firstLine="289"/>
              <w:jc w:val="both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  <w:t>Отсутствие у Росздравнадзора возможности давать официальные разъяснения применения обязательных требований, что в свою очередь обесценивает руководства по исполнению обязательных требований</w:t>
            </w:r>
          </w:p>
        </w:tc>
        <w:tc>
          <w:tcPr>
            <w:tcW w:w="9848" w:type="dxa"/>
          </w:tcPr>
          <w:p>
            <w:pPr>
              <w:ind w:firstLine="317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Предусмотреть возможность решения на законодательном уровне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lastRenderedPageBreak/>
              <w:t>9</w:t>
            </w:r>
          </w:p>
        </w:tc>
        <w:tc>
          <w:tcPr>
            <w:tcW w:w="5152" w:type="dxa"/>
          </w:tcPr>
          <w:p>
            <w:pPr>
              <w:tabs>
                <w:tab w:val="left" w:pos="589"/>
              </w:tabs>
              <w:ind w:firstLine="289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  <w:t xml:space="preserve">Возможное временное увеличение  выявления количества случаев причинения вреда жизни и здоровью граждан вследствие нежелательных реакций, связанных с применением недоброкачественных и фальсифицированных лекарственных препаратов </w:t>
            </w:r>
          </w:p>
        </w:tc>
        <w:tc>
          <w:tcPr>
            <w:tcW w:w="9848" w:type="dxa"/>
          </w:tcPr>
          <w:p>
            <w:pPr>
              <w:ind w:firstLine="317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Обеспечение информационной поддержки граждан, получающих лекарственную помощь, а также информирование хозяйствующих субъектов об особенностях применения лекарственных препаратов; сроков введения препарата и возможности возникновения нежелательной реакции у конкретного пациента вследствие основного заболевания, диагностических или лечебных медицинских манипуляций, сопутствующих заболеваний или других причин; причинно-следственной связи данной нежелательной реакции с подозреваемым препаратом (с использованием критериев одного из существующих алгоритмов оценки причинно-следственной связи, например, алгоритма Всемирной Организации Здравоохранения или алгоритма Наранжо).</w:t>
            </w:r>
          </w:p>
          <w:p>
            <w:pPr>
              <w:ind w:firstLine="317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Повышение роли профилактики нарушений обязательных требований законодательства в сфере обращения лекарственных средств, разработка методических рекомендаций, инструкций.</w:t>
            </w:r>
          </w:p>
        </w:tc>
      </w:tr>
      <w:tr>
        <w:tc>
          <w:tcPr>
            <w:tcW w:w="617" w:type="dxa"/>
          </w:tcPr>
          <w:p>
            <w:pPr>
              <w:jc w:val="center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10</w:t>
            </w:r>
          </w:p>
        </w:tc>
        <w:tc>
          <w:tcPr>
            <w:tcW w:w="5152" w:type="dxa"/>
          </w:tcPr>
          <w:p>
            <w:pPr>
              <w:ind w:firstLine="289"/>
              <w:jc w:val="both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Возможное временное увеличение доли выявленных в обращении фальсифицированных, недоброкачественных и незарегистрированных медицинских изделий от общего объема проведенных экспертиз от количества выбранных экспертиз в рамках государственного контроля за обращением медицинских изделий</w:t>
            </w:r>
          </w:p>
        </w:tc>
        <w:tc>
          <w:tcPr>
            <w:tcW w:w="9848" w:type="dxa"/>
          </w:tcPr>
          <w:p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информационной поддержки субъектов обращения медицинских изделий, повышение роли профилактики нарушений в сфере обращения медицинских изделий, разработка методических рекомендаций и инструкций.</w:t>
            </w:r>
          </w:p>
        </w:tc>
      </w:tr>
      <w:tr>
        <w:tc>
          <w:tcPr>
            <w:tcW w:w="617" w:type="dxa"/>
          </w:tcPr>
          <w:p>
            <w:pPr>
              <w:jc w:val="center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11</w:t>
            </w:r>
          </w:p>
        </w:tc>
        <w:tc>
          <w:tcPr>
            <w:tcW w:w="5152" w:type="dxa"/>
          </w:tcPr>
          <w:p>
            <w:pPr>
              <w:ind w:firstLine="289"/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  <w:t>Снижение рождаемости может повысить показатель младенческой смертности, поскольку расчет производится на 1000 родившихся живыми</w:t>
            </w:r>
          </w:p>
        </w:tc>
        <w:tc>
          <w:tcPr>
            <w:tcW w:w="9848" w:type="dxa"/>
          </w:tcPr>
          <w:p>
            <w:pPr>
              <w:pStyle w:val="ConsPlusNormal"/>
              <w:ind w:firstLine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Разработка федеральными органами государственной власти, органами государственной власти субъектов Российской Федерации и органами местного самоуправления программ социальной поддержки семей с целью повышения рождаемости. </w:t>
            </w:r>
          </w:p>
          <w:p>
            <w:pPr>
              <w:pStyle w:val="ConsPlusNormal"/>
              <w:ind w:firstLine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доступности вспомогательных репродуктивных технологий и высокотехнологичной медицинской помощи в субъектах Российской Федерации.</w:t>
            </w:r>
          </w:p>
          <w:p>
            <w:pPr>
              <w:pStyle w:val="ConsPlusNormal"/>
              <w:ind w:firstLine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Обеспечение всесторонней медико-социальной поддержки граждан, включая информационные мероприятия, освещающие возможности по обеспечению пренатального скрининга. </w:t>
            </w:r>
          </w:p>
        </w:tc>
      </w:tr>
      <w:tr>
        <w:tc>
          <w:tcPr>
            <w:tcW w:w="617" w:type="dxa"/>
          </w:tcPr>
          <w:p>
            <w:pPr>
              <w:jc w:val="center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12</w:t>
            </w:r>
          </w:p>
        </w:tc>
        <w:tc>
          <w:tcPr>
            <w:tcW w:w="5152" w:type="dxa"/>
          </w:tcPr>
          <w:p>
            <w:pPr>
              <w:ind w:firstLine="289"/>
              <w:jc w:val="both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  <w:t xml:space="preserve">Увеличение неравенства в реализации </w:t>
            </w:r>
            <w:r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  <w:lastRenderedPageBreak/>
              <w:t>прав населения на медицинскую помощь, в том числе вследствие нарастания экономического разрыва между регионами</w:t>
            </w:r>
          </w:p>
        </w:tc>
        <w:tc>
          <w:tcPr>
            <w:tcW w:w="9848" w:type="dxa"/>
          </w:tcPr>
          <w:p>
            <w:pPr>
              <w:pStyle w:val="ConsPlusNormal"/>
              <w:ind w:firstLine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Дальнейшее развитие сети перинатальных центров, в том числе федерального </w:t>
            </w:r>
            <w:r>
              <w:rPr>
                <w:sz w:val="26"/>
                <w:szCs w:val="26"/>
              </w:rPr>
              <w:lastRenderedPageBreak/>
              <w:t>подчинения.</w:t>
            </w:r>
          </w:p>
          <w:p>
            <w:pPr>
              <w:pStyle w:val="ConsPlusNormal"/>
              <w:ind w:firstLine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Совершенствование контроля за исполнением порядков оказания медицинской помощи и клинических рекомендаций (протоколов лечения) по профилям «акушерство и гинекология», «неонатология». </w:t>
            </w:r>
          </w:p>
        </w:tc>
      </w:tr>
      <w:tr>
        <w:tc>
          <w:tcPr>
            <w:tcW w:w="617" w:type="dxa"/>
          </w:tcPr>
          <w:p>
            <w:pPr>
              <w:jc w:val="center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lastRenderedPageBreak/>
              <w:t>13</w:t>
            </w:r>
          </w:p>
        </w:tc>
        <w:tc>
          <w:tcPr>
            <w:tcW w:w="5152" w:type="dxa"/>
          </w:tcPr>
          <w:p>
            <w:pPr>
              <w:ind w:firstLine="289"/>
              <w:jc w:val="both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  <w:t>Снижение качества оказания медицинской помощи вследствие кадрового дефицита, в том числе на уровне управленческого звена</w:t>
            </w:r>
          </w:p>
        </w:tc>
        <w:tc>
          <w:tcPr>
            <w:tcW w:w="9848" w:type="dxa"/>
          </w:tcPr>
          <w:p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Оказание, в том числе с привлечением экспертного сообщества, методической поддержки органам государственной власти в сфере охраны здоровья субъектов Российской Федерации и медицинским организациям, включая федеральные перинатальные центры.</w:t>
            </w:r>
          </w:p>
        </w:tc>
      </w:tr>
      <w:tr>
        <w:tc>
          <w:tcPr>
            <w:tcW w:w="617" w:type="dxa"/>
          </w:tcPr>
          <w:p>
            <w:pPr>
              <w:jc w:val="center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14</w:t>
            </w:r>
          </w:p>
        </w:tc>
        <w:tc>
          <w:tcPr>
            <w:tcW w:w="5152" w:type="dxa"/>
          </w:tcPr>
          <w:p>
            <w:pPr>
              <w:ind w:firstLine="289"/>
              <w:jc w:val="both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sz w:val="26"/>
                <w:szCs w:val="26"/>
                <w:lang w:val="ru-RU" w:eastAsia="ru-RU"/>
              </w:rPr>
              <w:t>Изменение сроков реализации «Личного кабинета» проверяемого лица на ЕПГУ</w:t>
            </w:r>
          </w:p>
        </w:tc>
        <w:tc>
          <w:tcPr>
            <w:tcW w:w="9848" w:type="dxa"/>
          </w:tcPr>
          <w:p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Координация на уровне Правительства Российской Федерации, регулярное взаимодействие с ответственными ФОИВами</w:t>
            </w:r>
          </w:p>
        </w:tc>
      </w:tr>
      <w:tr>
        <w:tc>
          <w:tcPr>
            <w:tcW w:w="617" w:type="dxa"/>
          </w:tcPr>
          <w:p>
            <w:pPr>
              <w:jc w:val="center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15</w:t>
            </w:r>
          </w:p>
        </w:tc>
        <w:tc>
          <w:tcPr>
            <w:tcW w:w="5152" w:type="dxa"/>
          </w:tcPr>
          <w:p>
            <w:pPr>
              <w:ind w:firstLine="289"/>
              <w:jc w:val="both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sz w:val="26"/>
                <w:szCs w:val="26"/>
                <w:lang w:val="ru-RU" w:eastAsia="ru-RU"/>
              </w:rPr>
              <w:t>Отсутствие сведений об организациях, осуществляющих оборот медицинских изделий, начавших свою деятельность до 2015 г.</w:t>
            </w:r>
          </w:p>
        </w:tc>
        <w:tc>
          <w:tcPr>
            <w:tcW w:w="9848" w:type="dxa"/>
          </w:tcPr>
          <w:p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информационной поддержки субъектов обращения медицинских изделий</w:t>
            </w:r>
          </w:p>
        </w:tc>
      </w:tr>
      <w:tr>
        <w:trPr>
          <w:trHeight w:val="2170"/>
        </w:trPr>
        <w:tc>
          <w:tcPr>
            <w:tcW w:w="617" w:type="dxa"/>
          </w:tcPr>
          <w:p>
            <w:pPr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16</w:t>
            </w:r>
          </w:p>
        </w:tc>
        <w:tc>
          <w:tcPr>
            <w:tcW w:w="5152" w:type="dxa"/>
          </w:tcPr>
          <w:p>
            <w:pPr>
              <w:tabs>
                <w:tab w:val="left" w:pos="589"/>
              </w:tabs>
              <w:ind w:firstLine="289"/>
              <w:jc w:val="both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  <w:t>Затягивание сроков подготовки проектов нормативных правовых актов по вопросам прохождения государственной гражданской службы, кадров и антикоррупционной работе, связанное с согласованием с иными ФОИВами (участниками пилотного проекта по контрольно-надзорной деятельности)</w:t>
            </w:r>
          </w:p>
        </w:tc>
        <w:tc>
          <w:tcPr>
            <w:tcW w:w="9848" w:type="dxa"/>
          </w:tcPr>
          <w:p>
            <w:pPr>
              <w:ind w:firstLine="317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Координация на уровне Правительства Российской Федерации, регулярное взаимодействие с ответственными ФОИВами</w:t>
            </w:r>
          </w:p>
        </w:tc>
      </w:tr>
      <w:tr>
        <w:trPr>
          <w:trHeight w:val="1373"/>
        </w:trPr>
        <w:tc>
          <w:tcPr>
            <w:tcW w:w="617" w:type="dxa"/>
          </w:tcPr>
          <w:p>
            <w:pPr>
              <w:jc w:val="both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17</w:t>
            </w:r>
          </w:p>
        </w:tc>
        <w:tc>
          <w:tcPr>
            <w:tcW w:w="5152" w:type="dxa"/>
          </w:tcPr>
          <w:p>
            <w:pPr>
              <w:tabs>
                <w:tab w:val="left" w:pos="589"/>
              </w:tabs>
              <w:ind w:firstLine="289"/>
              <w:jc w:val="both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Отсутствие нормативно-правового акта Правительства Российской Федерации определяющего порядок формирования кадрового резерва</w:t>
            </w:r>
          </w:p>
        </w:tc>
        <w:tc>
          <w:tcPr>
            <w:tcW w:w="9848" w:type="dxa"/>
          </w:tcPr>
          <w:p>
            <w:pPr>
              <w:ind w:firstLine="317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Координация на уровне Правительства Российской Федерации, регулярное взаимодействие с Минтруда России</w:t>
            </w:r>
          </w:p>
        </w:tc>
      </w:tr>
      <w:tr>
        <w:tc>
          <w:tcPr>
            <w:tcW w:w="617" w:type="dxa"/>
          </w:tcPr>
          <w:p>
            <w:pPr>
              <w:jc w:val="center"/>
              <w:rPr>
                <w:rFonts w:eastAsia="Arial Unicode MS"/>
                <w:sz w:val="26"/>
                <w:szCs w:val="26"/>
                <w:highlight w:val="yellow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18</w:t>
            </w:r>
          </w:p>
        </w:tc>
        <w:tc>
          <w:tcPr>
            <w:tcW w:w="5152" w:type="dxa"/>
          </w:tcPr>
          <w:p>
            <w:pPr>
              <w:ind w:firstLine="289"/>
              <w:jc w:val="both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  <w:t xml:space="preserve">Отсутствие финансирования у Минтруда России </w:t>
            </w:r>
            <w:r>
              <w:rPr>
                <w:sz w:val="26"/>
                <w:szCs w:val="26"/>
                <w:lang w:val="ru-RU"/>
              </w:rPr>
              <w:t xml:space="preserve">для предоставления бюджетных мест заявленных Росздравнадзором для обучения государственных гражданских служащих Росздравнадзора </w:t>
            </w:r>
            <w:r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  <w:t xml:space="preserve">по вопросам применения риск-ориентированного подхода в соответствии с письмом </w:t>
            </w:r>
            <w:r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  <w:lastRenderedPageBreak/>
              <w:t>Минтруда России от 26.12.2016 № 18-3/10/П-8377. Письмом (заявка) Росздравнадзора от 24.01.2017 № 01-3236/17) заявлено 450 мест.</w:t>
            </w:r>
          </w:p>
        </w:tc>
        <w:tc>
          <w:tcPr>
            <w:tcW w:w="9848" w:type="dxa"/>
          </w:tcPr>
          <w:p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Планирование дополнительного профессионального образования по иным программам с учетом их профессиональной служебной деятельности.</w:t>
            </w:r>
          </w:p>
        </w:tc>
      </w:tr>
      <w:tr>
        <w:trPr>
          <w:trHeight w:val="3171"/>
        </w:trPr>
        <w:tc>
          <w:tcPr>
            <w:tcW w:w="617" w:type="dxa"/>
          </w:tcPr>
          <w:p>
            <w:pPr>
              <w:jc w:val="center"/>
              <w:rPr>
                <w:rFonts w:eastAsia="Arial Unicode MS"/>
                <w:sz w:val="26"/>
                <w:szCs w:val="26"/>
                <w:highlight w:val="yellow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lastRenderedPageBreak/>
              <w:t>19</w:t>
            </w:r>
          </w:p>
        </w:tc>
        <w:tc>
          <w:tcPr>
            <w:tcW w:w="5152" w:type="dxa"/>
          </w:tcPr>
          <w:p>
            <w:pPr>
              <w:jc w:val="both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  <w:t xml:space="preserve">Отсутствие у Росздравнадзора </w:t>
            </w:r>
            <w:r>
              <w:rPr>
                <w:sz w:val="26"/>
                <w:szCs w:val="26"/>
                <w:lang w:val="ru-RU"/>
              </w:rPr>
              <w:t xml:space="preserve">бюджетных ассигнований для </w:t>
            </w:r>
            <w:r>
              <w:rPr>
                <w:rFonts w:eastAsia="Calibri"/>
                <w:sz w:val="26"/>
                <w:szCs w:val="26"/>
                <w:lang w:val="ru-RU"/>
              </w:rPr>
              <w:t>организации повышения квалификации 100 % государственных гражданских служащих, ответственных за профилактику коррупционных и иных правонарушений, а также для лиц, замещающих должности федеральной государственной гражданской службы, связанные с высоким коррупционным риском.</w:t>
            </w:r>
          </w:p>
        </w:tc>
        <w:tc>
          <w:tcPr>
            <w:tcW w:w="9848" w:type="dxa"/>
          </w:tcPr>
          <w:p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семинаров и вебинаров с государственными гражданскими служащими, ответственными за профилактику коррупционных и иных правонарушений, а также для лиц, замещающих должности федеральной государственной гражданской службы, связанные с высоким коррупционным риском.</w:t>
            </w:r>
          </w:p>
        </w:tc>
      </w:tr>
      <w:tr>
        <w:trPr>
          <w:trHeight w:val="3812"/>
        </w:trPr>
        <w:tc>
          <w:tcPr>
            <w:tcW w:w="617" w:type="dxa"/>
          </w:tcPr>
          <w:p>
            <w:pPr>
              <w:jc w:val="center"/>
              <w:rPr>
                <w:rFonts w:eastAsia="Arial Unicode MS"/>
                <w:sz w:val="26"/>
                <w:szCs w:val="26"/>
                <w:highlight w:val="yellow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20</w:t>
            </w:r>
          </w:p>
        </w:tc>
        <w:tc>
          <w:tcPr>
            <w:tcW w:w="5152" w:type="dxa"/>
          </w:tcPr>
          <w:p>
            <w:pPr>
              <w:ind w:firstLine="289"/>
              <w:jc w:val="both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  <w:t xml:space="preserve">100 % внесение изменений детализированных квалификационных требований в должностные регламенты гражданских служащих Росздравнадзора осуществляющие контрольно-надзорные функции, назначение которых осуществлялось в соответствии с действующим законодательством Российской Федерации не требующие в тот период применения детализированных квалификационных требований, повлечет вынужденное их увольнение </w:t>
            </w:r>
          </w:p>
        </w:tc>
        <w:tc>
          <w:tcPr>
            <w:tcW w:w="9848" w:type="dxa"/>
          </w:tcPr>
          <w:p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Поэтапное введение </w:t>
            </w:r>
            <w:r>
              <w:rPr>
                <w:rFonts w:eastAsia="Arial Unicode MS"/>
                <w:bCs/>
                <w:sz w:val="26"/>
                <w:szCs w:val="26"/>
                <w:u w:color="000000"/>
              </w:rPr>
              <w:t xml:space="preserve">изменений в должностные регламенты гражданских служащих Росздравнадзора детализированных квалификационных требований при </w:t>
            </w:r>
            <w:r>
              <w:rPr>
                <w:sz w:val="26"/>
                <w:szCs w:val="26"/>
              </w:rPr>
              <w:t>высвобождении должности (вакантная должность)</w:t>
            </w:r>
          </w:p>
        </w:tc>
      </w:tr>
      <w:tr>
        <w:tc>
          <w:tcPr>
            <w:tcW w:w="617" w:type="dxa"/>
          </w:tcPr>
          <w:p>
            <w:pPr>
              <w:jc w:val="center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21</w:t>
            </w:r>
          </w:p>
        </w:tc>
        <w:tc>
          <w:tcPr>
            <w:tcW w:w="5152" w:type="dxa"/>
          </w:tcPr>
          <w:p>
            <w:pPr>
              <w:ind w:firstLine="268"/>
              <w:jc w:val="both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  <w:t>Формальный подход гражданских служащих Росздравнадзора ответственных за сопровождение документа</w:t>
            </w:r>
          </w:p>
        </w:tc>
        <w:tc>
          <w:tcPr>
            <w:tcW w:w="9848" w:type="dxa"/>
          </w:tcPr>
          <w:p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Наложение дисциплинарных взысканий </w:t>
            </w:r>
          </w:p>
        </w:tc>
      </w:tr>
      <w:tr>
        <w:tc>
          <w:tcPr>
            <w:tcW w:w="617" w:type="dxa"/>
          </w:tcPr>
          <w:p>
            <w:pPr>
              <w:jc w:val="center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22</w:t>
            </w:r>
          </w:p>
        </w:tc>
        <w:tc>
          <w:tcPr>
            <w:tcW w:w="5152" w:type="dxa"/>
          </w:tcPr>
          <w:p>
            <w:pPr>
              <w:ind w:firstLine="268"/>
              <w:jc w:val="both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  <w:t xml:space="preserve">Отсутствие необходимого финансирования или снижение объема на закупку технических средств фото-, видео- </w:t>
            </w:r>
            <w:r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  <w:lastRenderedPageBreak/>
              <w:t xml:space="preserve">и аудиозаписи </w:t>
            </w:r>
          </w:p>
        </w:tc>
        <w:tc>
          <w:tcPr>
            <w:tcW w:w="9848" w:type="dxa"/>
          </w:tcPr>
          <w:p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Пересмотр сроков реализации закупки</w:t>
            </w:r>
          </w:p>
        </w:tc>
      </w:tr>
      <w:tr>
        <w:trPr>
          <w:trHeight w:val="3214"/>
        </w:trPr>
        <w:tc>
          <w:tcPr>
            <w:tcW w:w="617" w:type="dxa"/>
          </w:tcPr>
          <w:p>
            <w:pPr>
              <w:jc w:val="center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lastRenderedPageBreak/>
              <w:t>23</w:t>
            </w:r>
          </w:p>
        </w:tc>
        <w:tc>
          <w:tcPr>
            <w:tcW w:w="5152" w:type="dxa"/>
          </w:tcPr>
          <w:p>
            <w:pPr>
              <w:tabs>
                <w:tab w:val="left" w:pos="1134"/>
              </w:tabs>
              <w:ind w:left="-16" w:firstLine="284"/>
              <w:contextualSpacing/>
              <w:jc w:val="both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Отсутствие возможности участия в мероприятиях по профессиональному развитию сотрудников кадровых служб – специалистов в </w:t>
            </w:r>
            <w:r>
              <w:rPr>
                <w:sz w:val="26"/>
                <w:szCs w:val="26"/>
              </w:rPr>
              <w:t>HR</w:t>
            </w:r>
            <w:r>
              <w:rPr>
                <w:sz w:val="26"/>
                <w:szCs w:val="26"/>
                <w:lang w:val="ru-RU"/>
              </w:rPr>
              <w:t>-технологиях федеральных органов исполнительной власти по дополнительным профессиональным программам в области управления персоналом (</w:t>
            </w:r>
            <w:r>
              <w:rPr>
                <w:sz w:val="26"/>
                <w:szCs w:val="26"/>
              </w:rPr>
              <w:t>HR</w:t>
            </w:r>
            <w:r>
              <w:rPr>
                <w:sz w:val="26"/>
                <w:szCs w:val="26"/>
                <w:lang w:val="ru-RU"/>
              </w:rPr>
              <w:t>-менеджмента) в связи с отсутствием финансирования и программ ДПО</w:t>
            </w:r>
          </w:p>
        </w:tc>
        <w:tc>
          <w:tcPr>
            <w:tcW w:w="9848" w:type="dxa"/>
          </w:tcPr>
          <w:p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Координация на уровне Правительства Российской Федерации и Минтруда России</w:t>
            </w:r>
          </w:p>
        </w:tc>
      </w:tr>
      <w:tr>
        <w:trPr>
          <w:trHeight w:val="3201"/>
        </w:trPr>
        <w:tc>
          <w:tcPr>
            <w:tcW w:w="617" w:type="dxa"/>
          </w:tcPr>
          <w:p>
            <w:pPr>
              <w:jc w:val="center"/>
              <w:rPr>
                <w:rFonts w:eastAsia="Arial Unicode MS"/>
                <w:sz w:val="26"/>
                <w:szCs w:val="26"/>
                <w:highlight w:val="yellow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24</w:t>
            </w:r>
          </w:p>
        </w:tc>
        <w:tc>
          <w:tcPr>
            <w:tcW w:w="5152" w:type="dxa"/>
          </w:tcPr>
          <w:p>
            <w:pPr>
              <w:ind w:firstLine="268"/>
              <w:jc w:val="both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Отсутствие возможности обучения, в том числе дистанционно, управленческих команд в центральном аппарате и территориальных органах Росздравнадзора современным методам реализации контрольно-надзорной деятельности, управленческим компетенциям (</w:t>
            </w:r>
            <w:r>
              <w:rPr>
                <w:sz w:val="26"/>
                <w:szCs w:val="26"/>
              </w:rPr>
              <w:t>soft</w:t>
            </w:r>
            <w:r>
              <w:rPr>
                <w:sz w:val="26"/>
                <w:szCs w:val="26"/>
                <w:lang w:val="ru-RU"/>
              </w:rPr>
              <w:t>-</w:t>
            </w:r>
            <w:r>
              <w:rPr>
                <w:sz w:val="26"/>
                <w:szCs w:val="26"/>
              </w:rPr>
              <w:t>skills</w:t>
            </w:r>
            <w:r>
              <w:rPr>
                <w:sz w:val="26"/>
                <w:szCs w:val="26"/>
                <w:lang w:val="ru-RU"/>
              </w:rPr>
              <w:t>, управление изменениями, навыки проектного управления) (в связи с отсутствием финансирования)</w:t>
            </w:r>
          </w:p>
        </w:tc>
        <w:tc>
          <w:tcPr>
            <w:tcW w:w="9848" w:type="dxa"/>
          </w:tcPr>
          <w:p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Координация на уровне (финансирование) Правительства Российской Федерации и Минтруда России</w:t>
            </w:r>
          </w:p>
        </w:tc>
      </w:tr>
      <w:tr>
        <w:trPr>
          <w:trHeight w:val="2881"/>
        </w:trPr>
        <w:tc>
          <w:tcPr>
            <w:tcW w:w="617" w:type="dxa"/>
          </w:tcPr>
          <w:p>
            <w:pPr>
              <w:jc w:val="center"/>
              <w:rPr>
                <w:rFonts w:eastAsia="Arial Unicode MS"/>
                <w:sz w:val="26"/>
                <w:szCs w:val="26"/>
                <w:highlight w:val="yellow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t>25</w:t>
            </w:r>
          </w:p>
        </w:tc>
        <w:tc>
          <w:tcPr>
            <w:tcW w:w="5152" w:type="dxa"/>
          </w:tcPr>
          <w:p>
            <w:pPr>
              <w:ind w:firstLine="268"/>
              <w:jc w:val="both"/>
              <w:rPr>
                <w:rFonts w:eastAsia="Arial Unicode MS"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Отсутствие возможности внедрения аналитического модуля комплексной оценки эффективности и результативности деятельности контрольно-надзорных органов, включающий расширенные показатели организационных, технических и финансовых затрат, нагрузки и результатов деятельности кадрового состава</w:t>
            </w:r>
          </w:p>
        </w:tc>
        <w:tc>
          <w:tcPr>
            <w:tcW w:w="9848" w:type="dxa"/>
          </w:tcPr>
          <w:p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Координация на уровне (финансирование) Правительства Российской Федерации и Минтруда России</w:t>
            </w:r>
          </w:p>
        </w:tc>
      </w:tr>
      <w:tr>
        <w:trPr>
          <w:trHeight w:val="1124"/>
        </w:trPr>
        <w:tc>
          <w:tcPr>
            <w:tcW w:w="617" w:type="dxa"/>
          </w:tcPr>
          <w:p>
            <w:pPr>
              <w:jc w:val="center"/>
              <w:rPr>
                <w:rFonts w:eastAsia="Arial Unicode MS"/>
                <w:sz w:val="26"/>
                <w:szCs w:val="26"/>
                <w:lang w:val="ru-RU"/>
              </w:rPr>
            </w:pPr>
            <w:r>
              <w:rPr>
                <w:rFonts w:eastAsia="Arial Unicode MS"/>
                <w:sz w:val="26"/>
                <w:szCs w:val="26"/>
                <w:lang w:val="ru-RU"/>
              </w:rPr>
              <w:lastRenderedPageBreak/>
              <w:t>26</w:t>
            </w:r>
          </w:p>
        </w:tc>
        <w:tc>
          <w:tcPr>
            <w:tcW w:w="5152" w:type="dxa"/>
          </w:tcPr>
          <w:p>
            <w:pPr>
              <w:ind w:firstLine="268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Отсутствие возможности внедрения комплекса дистанционного обучения</w:t>
            </w:r>
          </w:p>
        </w:tc>
        <w:tc>
          <w:tcPr>
            <w:tcW w:w="9848" w:type="dxa"/>
          </w:tcPr>
          <w:p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Координация на уровне Правительства Российской Федерации и Минтруда России</w:t>
            </w:r>
          </w:p>
        </w:tc>
      </w:tr>
    </w:tbl>
    <w:tbl>
      <w:tblPr>
        <w:tblW w:w="15704" w:type="dxa"/>
        <w:jc w:val="center"/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12190"/>
      </w:tblGrid>
      <w:tr>
        <w:trPr>
          <w:cantSplit/>
          <w:trHeight w:val="176"/>
          <w:jc w:val="center"/>
        </w:trPr>
        <w:tc>
          <w:tcPr>
            <w:tcW w:w="15704" w:type="dxa"/>
            <w:gridSpan w:val="2"/>
            <w:tcBorders>
              <w:bottom w:val="single" w:sz="4" w:space="0" w:color="auto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vAlign w:val="center"/>
          </w:tcPr>
          <w:p>
            <w:pPr>
              <w:pStyle w:val="a7"/>
              <w:tabs>
                <w:tab w:val="left" w:pos="513"/>
              </w:tabs>
              <w:ind w:left="0"/>
              <w:jc w:val="center"/>
              <w:rPr>
                <w:rFonts w:eastAsia="Arial Unicode MS"/>
                <w:b/>
                <w:bCs/>
                <w:sz w:val="26"/>
                <w:szCs w:val="26"/>
                <w:u w:color="000000"/>
                <w:lang w:val="ru-RU"/>
              </w:rPr>
            </w:pPr>
          </w:p>
          <w:p>
            <w:pPr>
              <w:pStyle w:val="a7"/>
              <w:tabs>
                <w:tab w:val="left" w:pos="513"/>
              </w:tabs>
              <w:ind w:left="0"/>
              <w:jc w:val="center"/>
              <w:rPr>
                <w:rFonts w:eastAsia="Arial Unicode MS"/>
                <w:b/>
                <w:bCs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u w:color="000000"/>
                <w:lang w:val="ru-RU"/>
              </w:rPr>
              <w:t>6. ОПИСАНИЕ ПРИОРИТЕТНОГО ПРОЕКТА</w:t>
            </w:r>
          </w:p>
          <w:p>
            <w:pPr>
              <w:pStyle w:val="a7"/>
              <w:tabs>
                <w:tab w:val="left" w:pos="513"/>
              </w:tabs>
              <w:rPr>
                <w:rFonts w:eastAsia="Arial Unicode MS"/>
                <w:b/>
                <w:bCs/>
                <w:sz w:val="26"/>
                <w:szCs w:val="26"/>
                <w:u w:color="000000"/>
                <w:lang w:val="ru-RU"/>
              </w:rPr>
            </w:pPr>
          </w:p>
        </w:tc>
      </w:tr>
      <w:tr>
        <w:trPr>
          <w:cantSplit/>
          <w:trHeight w:val="555"/>
          <w:jc w:val="center"/>
        </w:trPr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</w:tcPr>
          <w:p>
            <w:pPr>
              <w:spacing w:line="233" w:lineRule="auto"/>
              <w:rPr>
                <w:rFonts w:eastAsia="Arial Unicode MS"/>
                <w:b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b/>
                <w:sz w:val="26"/>
                <w:szCs w:val="26"/>
                <w:u w:color="000000"/>
                <w:lang w:val="ru-RU"/>
              </w:rPr>
              <w:t>Связь с государственными программами Российской Федерации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vAlign w:val="center"/>
          </w:tcPr>
          <w:p>
            <w:pPr>
              <w:spacing w:line="233" w:lineRule="auto"/>
              <w:ind w:firstLine="242"/>
              <w:jc w:val="both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- Государственная программа Российской Федерации «Развитие здравоохранения» (постановление Правительства Российской Федерации от 15 апреля 2014 г. № 294);</w:t>
            </w:r>
          </w:p>
          <w:p>
            <w:pPr>
              <w:spacing w:line="233" w:lineRule="auto"/>
              <w:ind w:firstLine="242"/>
              <w:jc w:val="both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- Федеральная целевая программа «Развитие фармацевтической и медицинской промышленности Российской Федерации на период до 2020 года и дальнейшую перспективу» (постановление Правительства Российской Федерации от 17 февраля 2011 г. № 91);</w:t>
            </w:r>
          </w:p>
          <w:p>
            <w:pPr>
              <w:spacing w:line="233" w:lineRule="auto"/>
              <w:ind w:firstLine="242"/>
              <w:jc w:val="both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- Стратегия лекарственного обеспечения населения Российской Федерации на период до 2025 года и план ее реализации (приказ Министерства здравоохранения Российской Федерации от 13 февраля 2013 г. № 66).</w:t>
            </w:r>
          </w:p>
        </w:tc>
      </w:tr>
      <w:tr>
        <w:trPr>
          <w:cantSplit/>
          <w:trHeight w:val="555"/>
          <w:jc w:val="center"/>
        </w:trPr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</w:tcPr>
          <w:p>
            <w:pPr>
              <w:spacing w:line="233" w:lineRule="auto"/>
              <w:rPr>
                <w:rFonts w:eastAsia="Arial Unicode MS"/>
                <w:b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b/>
                <w:sz w:val="26"/>
                <w:szCs w:val="26"/>
                <w:u w:color="000000"/>
                <w:lang w:val="ru-RU"/>
              </w:rPr>
              <w:t>Взаимосвязь с другими проектами и программами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  <w:vAlign w:val="center"/>
          </w:tcPr>
          <w:p>
            <w:pPr>
              <w:spacing w:line="233" w:lineRule="auto"/>
              <w:ind w:firstLine="702"/>
              <w:jc w:val="both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Пункт 5 Поручения Президента Российской Федерации Пр-285 от 20 февраля 2015г: «Министерству здравоохранения Российской Федерации обеспечить разработку и поэтапное внедрение автоматизированной системы мониторинга движения лекарственных препаратов от производителя до конечного потребителя с использованием маркировки (кодификации) и идентификации упаковок лекарственных препаратов в целях обеспечения эффективного контроля качества лекарственных препаратов, находящихся в обращении, и борьбы с их фальсификацией».</w:t>
            </w:r>
          </w:p>
          <w:p>
            <w:pPr>
              <w:spacing w:line="233" w:lineRule="auto"/>
              <w:ind w:firstLine="702"/>
              <w:jc w:val="both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План информатизации Федеральной службы по надзору в сфере здравоохранения на 2016 финансовый год и плановый период 2017 и 2018 годов, утвержденный приказом Росздравнадзора от 28 апреля 2016 года № 3735.</w:t>
            </w:r>
          </w:p>
          <w:p>
            <w:pPr>
              <w:spacing w:line="233" w:lineRule="auto"/>
              <w:ind w:firstLine="702"/>
              <w:jc w:val="both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План мероприятий ("дорожная карта") по повышению доступности наркотических средств и психотропных веществ для использования в медицинских целях», утвержденный распоряжением Правительства Российской Федерации от 1 июля 2016 года № 1403-р.</w:t>
            </w:r>
          </w:p>
          <w:p>
            <w:pPr>
              <w:spacing w:line="233" w:lineRule="auto"/>
              <w:ind w:firstLine="702"/>
              <w:jc w:val="both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План мероприятий ("дорожная карта") по совершенствованию контрольно-надзорной деятельности в Российской Федерации на 2016-2017 годы, утвержденный распоряжением Правительства Российской Федерации от 1 апреля 2016 г. № 559-р.</w:t>
            </w:r>
          </w:p>
          <w:p>
            <w:pPr>
              <w:spacing w:line="233" w:lineRule="auto"/>
              <w:ind w:firstLine="702"/>
              <w:jc w:val="both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Протокол заседания президиума Совета при Президенте Российской Федерации по стратегическому развитию и приоритетным проектам от 19 октября 2016 № 8 (пункт №2).</w:t>
            </w:r>
          </w:p>
          <w:p>
            <w:pPr>
              <w:spacing w:line="233" w:lineRule="auto"/>
              <w:ind w:firstLine="702"/>
              <w:jc w:val="both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 xml:space="preserve">Распоряжение Правительства Российской Федерации от 5 декабря 2016 г. № 2592-р (раздел </w:t>
            </w:r>
            <w:r>
              <w:rPr>
                <w:rFonts w:eastAsia="Arial Unicode MS"/>
                <w:sz w:val="26"/>
                <w:szCs w:val="26"/>
                <w:u w:color="000000"/>
              </w:rPr>
              <w:t>VIII</w:t>
            </w: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).</w:t>
            </w:r>
          </w:p>
        </w:tc>
      </w:tr>
      <w:tr>
        <w:trPr>
          <w:cantSplit/>
          <w:trHeight w:val="2318"/>
          <w:jc w:val="center"/>
        </w:trPr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</w:tcPr>
          <w:p>
            <w:pPr>
              <w:spacing w:line="233" w:lineRule="auto"/>
              <w:rPr>
                <w:rFonts w:eastAsia="Arial Unicode MS"/>
                <w:b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b/>
                <w:sz w:val="26"/>
                <w:szCs w:val="26"/>
                <w:u w:color="000000"/>
                <w:lang w:val="ru-RU"/>
              </w:rPr>
              <w:lastRenderedPageBreak/>
              <w:t>Формальные основания для инициации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</w:tcPr>
          <w:p>
            <w:pPr>
              <w:spacing w:line="233" w:lineRule="auto"/>
              <w:ind w:firstLine="702"/>
              <w:jc w:val="both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Указ Президента Российской Федерации от 7 мая 2012 года № 598 «О совершенствовании государственной политики в сфере здравоохранения».</w:t>
            </w:r>
          </w:p>
          <w:p>
            <w:pPr>
              <w:spacing w:line="233" w:lineRule="auto"/>
              <w:ind w:firstLine="702"/>
              <w:jc w:val="both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Федеральный закон от 21 ноября 2011 года № 323-ФЗ «Об основах охраны здоровья граждан в Российской Федерации»</w:t>
            </w:r>
          </w:p>
          <w:p>
            <w:pPr>
              <w:spacing w:line="233" w:lineRule="auto"/>
              <w:ind w:firstLine="702"/>
              <w:jc w:val="both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Федеральный закон от 12 апреля 2010 № 61-ФЗ "Об обращении лекарственных средств"</w:t>
            </w:r>
          </w:p>
          <w:p>
            <w:pPr>
              <w:spacing w:line="233" w:lineRule="auto"/>
              <w:ind w:firstLine="702"/>
              <w:jc w:val="both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Указ Президента Российской Федерации от 7 мая .2012 № 601 "Об основных направлениях совершенствования системы государственного управления"</w:t>
            </w:r>
          </w:p>
        </w:tc>
      </w:tr>
      <w:tr>
        <w:trPr>
          <w:cantSplit/>
          <w:trHeight w:val="1090"/>
          <w:jc w:val="center"/>
        </w:trPr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</w:tcPr>
          <w:p>
            <w:pPr>
              <w:spacing w:line="233" w:lineRule="auto"/>
              <w:rPr>
                <w:rFonts w:eastAsia="Arial Unicode MS"/>
                <w:b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b/>
                <w:sz w:val="26"/>
                <w:szCs w:val="26"/>
                <w:u w:color="000000"/>
                <w:lang w:val="ru-RU"/>
              </w:rPr>
              <w:t>Дополнительная информация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57" w:type="dxa"/>
              <w:bottom w:w="80" w:type="dxa"/>
              <w:right w:w="57" w:type="dxa"/>
            </w:tcMar>
          </w:tcPr>
          <w:p>
            <w:pPr>
              <w:spacing w:line="233" w:lineRule="auto"/>
              <w:ind w:firstLine="702"/>
              <w:jc w:val="both"/>
              <w:rPr>
                <w:rFonts w:eastAsia="Arial Unicode MS"/>
                <w:sz w:val="26"/>
                <w:szCs w:val="26"/>
                <w:u w:color="000000"/>
                <w:lang w:val="ru-RU"/>
              </w:rPr>
            </w:pPr>
            <w:r>
              <w:rPr>
                <w:rFonts w:eastAsia="Arial Unicode MS"/>
                <w:sz w:val="26"/>
                <w:szCs w:val="26"/>
                <w:u w:color="000000"/>
                <w:lang w:val="ru-RU"/>
              </w:rPr>
              <w:t>Мероприятия нацелены на реализацию задач, поставленных Президентом Российской Федерации В.В. Путиным, изложенных в послании Президента Российской Федерации Федеральному Собранию Российской Федерации от 3 декабря 2015 года, от 1 декабря 2016 года.</w:t>
            </w:r>
          </w:p>
        </w:tc>
      </w:tr>
    </w:tbl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ascii="Calibri" w:eastAsia="Calibri" w:hAnsi="Calibri"/>
          <w:sz w:val="22"/>
          <w:szCs w:val="22"/>
          <w:lang w:val="ru-RU"/>
        </w:rPr>
      </w:pPr>
    </w:p>
    <w:p>
      <w:pPr>
        <w:rPr>
          <w:rFonts w:eastAsia="Calibri"/>
          <w:lang w:val="ru-RU"/>
        </w:rPr>
      </w:pPr>
    </w:p>
    <w:sectPr>
      <w:headerReference w:type="default" r:id="rId9"/>
      <w:pgSz w:w="16840" w:h="11900" w:orient="landscape"/>
      <w:pgMar w:top="567" w:right="538" w:bottom="737" w:left="567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af6"/>
        <w:rPr>
          <w:lang w:val="ru-RU"/>
        </w:rPr>
      </w:pPr>
      <w:r>
        <w:rPr>
          <w:rStyle w:val="af8"/>
        </w:rPr>
        <w:footnoteRef/>
      </w:r>
      <w:r>
        <w:rPr>
          <w:lang w:val="ru-RU"/>
        </w:rPr>
        <w:t xml:space="preserve"> С учетом изменений</w:t>
      </w:r>
      <w:r>
        <w:rPr>
          <w:rFonts w:eastAsia="Arial Unicode MS"/>
          <w:szCs w:val="28"/>
          <w:lang w:val="ru-RU"/>
        </w:rPr>
        <w:t xml:space="preserve"> в законодательство, предусматривающих обязательную ротацию государственных служащих, замещающих должности, связанные с высоким уровнем коррупционного риска, а также комплексное совершенствование процедур организации и проведения ротации</w:t>
      </w:r>
    </w:p>
  </w:footnote>
  <w:footnote w:id="2">
    <w:p>
      <w:pPr>
        <w:pStyle w:val="af6"/>
        <w:rPr>
          <w:lang w:val="ru-RU"/>
        </w:rPr>
      </w:pPr>
      <w:r>
        <w:rPr>
          <w:rStyle w:val="af8"/>
        </w:rPr>
        <w:footnoteRef/>
      </w:r>
      <w:r>
        <w:rPr>
          <w:lang w:val="ru-RU"/>
        </w:rPr>
        <w:t xml:space="preserve"> С учетом изменений</w:t>
      </w:r>
      <w:r>
        <w:rPr>
          <w:rFonts w:eastAsia="Arial Unicode MS"/>
          <w:szCs w:val="28"/>
          <w:lang w:val="ru-RU"/>
        </w:rPr>
        <w:t xml:space="preserve"> в законодательство, предусматривающих обязательную ротацию государственных служащих, замещающих должности, связанные с высоким уровнем коррупционного риска, а также комплексное совершенствование процедур организации и проведения ротации</w:t>
      </w:r>
    </w:p>
  </w:footnote>
  <w:footnote w:id="3">
    <w:p>
      <w:pPr>
        <w:pStyle w:val="af6"/>
        <w:rPr>
          <w:lang w:val="ru-RU"/>
        </w:rPr>
      </w:pPr>
      <w:r>
        <w:rPr>
          <w:rStyle w:val="af8"/>
        </w:rPr>
        <w:footnoteRef/>
      </w:r>
      <w:r>
        <w:rPr>
          <w:lang w:val="ru-RU"/>
        </w:rPr>
        <w:t xml:space="preserve">  С учетом изменений</w:t>
      </w:r>
      <w:r>
        <w:rPr>
          <w:rFonts w:eastAsia="Arial Unicode MS"/>
          <w:szCs w:val="28"/>
          <w:lang w:val="ru-RU"/>
        </w:rPr>
        <w:t xml:space="preserve"> в законодательство, предусматривающих обязательную ротацию государственных служащих, замещающих должности, связанные с высоким уровнем коррупционного риска, а также комплексное совершенствование процедур организации и проведения ротации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tabs>
        <w:tab w:val="left" w:pos="0"/>
        <w:tab w:val="center" w:pos="4677"/>
        <w:tab w:val="center" w:pos="5100"/>
        <w:tab w:val="right" w:pos="9355"/>
        <w:tab w:val="right" w:pos="10199"/>
      </w:tabs>
      <w:jc w:val="center"/>
      <w:outlineLvl w:val="0"/>
      <w:rPr>
        <w:rFonts w:eastAsia="Arial Unicode MS"/>
        <w:color w:val="000000"/>
        <w:u w:color="000000"/>
        <w:lang w:val="ru-RU"/>
      </w:rPr>
    </w:pPr>
    <w:r>
      <w:rPr>
        <w:rFonts w:eastAsia="Arial Unicode MS"/>
        <w:color w:val="000000"/>
        <w:u w:color="000000"/>
        <w:lang w:val="ru-RU"/>
      </w:rPr>
      <w:fldChar w:fldCharType="begin"/>
    </w:r>
    <w:r>
      <w:rPr>
        <w:rFonts w:eastAsia="Arial Unicode MS" w:hAnsi="Arial Unicode MS"/>
        <w:color w:val="000000"/>
        <w:u w:color="000000"/>
        <w:lang w:val="ru-RU"/>
      </w:rPr>
      <w:instrText xml:space="preserve"> PAGE </w:instrText>
    </w:r>
    <w:r>
      <w:rPr>
        <w:rFonts w:eastAsia="Arial Unicode MS"/>
        <w:color w:val="000000"/>
        <w:u w:color="000000"/>
        <w:lang w:val="ru-RU"/>
      </w:rPr>
      <w:fldChar w:fldCharType="separate"/>
    </w:r>
    <w:r>
      <w:rPr>
        <w:rFonts w:eastAsia="Arial Unicode MS" w:hAnsi="Arial Unicode MS"/>
        <w:noProof/>
        <w:color w:val="000000"/>
        <w:u w:color="000000"/>
        <w:lang w:val="ru-RU"/>
      </w:rPr>
      <w:t>96</w:t>
    </w:r>
    <w:r>
      <w:rPr>
        <w:rFonts w:eastAsia="Arial Unicode MS"/>
        <w:color w:val="000000"/>
        <w:u w:color="000000"/>
        <w:lang w:val="ru-RU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D365684"/>
    <w:lvl w:ilvl="0">
      <w:numFmt w:val="bullet"/>
      <w:lvlText w:val="*"/>
      <w:lvlJc w:val="left"/>
    </w:lvl>
  </w:abstractNum>
  <w:abstractNum w:abstractNumId="1">
    <w:nsid w:val="01E25BB8"/>
    <w:multiLevelType w:val="hybridMultilevel"/>
    <w:tmpl w:val="D888577C"/>
    <w:lvl w:ilvl="0" w:tplc="450C44A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37162"/>
    <w:multiLevelType w:val="hybridMultilevel"/>
    <w:tmpl w:val="F208A024"/>
    <w:lvl w:ilvl="0" w:tplc="ECC4A776">
      <w:start w:val="23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13D80"/>
    <w:multiLevelType w:val="multilevel"/>
    <w:tmpl w:val="F094FE74"/>
    <w:lvl w:ilvl="0">
      <w:start w:val="1"/>
      <w:numFmt w:val="decimal"/>
      <w:pStyle w:val="Orderedlist1"/>
      <w:suff w:val="space"/>
      <w:lvlText w:val="%1."/>
      <w:lvlJc w:val="left"/>
      <w:pPr>
        <w:ind w:left="567" w:firstLine="0"/>
      </w:pPr>
      <w:rPr>
        <w:rFonts w:hint="default"/>
      </w:rPr>
    </w:lvl>
    <w:lvl w:ilvl="1">
      <w:start w:val="1"/>
      <w:numFmt w:val="decimal"/>
      <w:pStyle w:val="Orderedlist2"/>
      <w:suff w:val="space"/>
      <w:lvlText w:val="%1.%2."/>
      <w:lvlJc w:val="left"/>
      <w:pPr>
        <w:ind w:left="1701" w:firstLine="0"/>
      </w:pPr>
      <w:rPr>
        <w:rFonts w:hint="default"/>
      </w:rPr>
    </w:lvl>
    <w:lvl w:ilvl="2">
      <w:start w:val="1"/>
      <w:numFmt w:val="decimal"/>
      <w:pStyle w:val="OrderedList3"/>
      <w:suff w:val="space"/>
      <w:lvlText w:val="%1.%2.%3."/>
      <w:lvlJc w:val="left"/>
      <w:pPr>
        <w:ind w:left="2268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47"/>
        </w:tabs>
        <w:ind w:left="254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99"/>
        </w:tabs>
        <w:ind w:left="469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16"/>
        </w:tabs>
        <w:ind w:left="54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73"/>
        </w:tabs>
        <w:ind w:left="57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90"/>
        </w:tabs>
        <w:ind w:left="6490" w:hanging="2160"/>
      </w:pPr>
      <w:rPr>
        <w:rFonts w:hint="default"/>
      </w:rPr>
    </w:lvl>
  </w:abstractNum>
  <w:abstractNum w:abstractNumId="4">
    <w:nsid w:val="0D384C8C"/>
    <w:multiLevelType w:val="hybridMultilevel"/>
    <w:tmpl w:val="C90205F2"/>
    <w:lvl w:ilvl="0" w:tplc="450C44AC">
      <w:numFmt w:val="bullet"/>
      <w:lvlText w:val="•"/>
      <w:lvlJc w:val="left"/>
      <w:pPr>
        <w:ind w:left="1080" w:hanging="72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1674C"/>
    <w:multiLevelType w:val="hybridMultilevel"/>
    <w:tmpl w:val="947CFFF6"/>
    <w:lvl w:ilvl="0" w:tplc="FFFFFFFF">
      <w:start w:val="1"/>
      <w:numFmt w:val="bullet"/>
      <w:lvlRestart w:val="0"/>
      <w:pStyle w:val="ItemizedList2"/>
      <w:lvlText w:val="-"/>
      <w:lvlJc w:val="left"/>
      <w:pPr>
        <w:tabs>
          <w:tab w:val="num" w:pos="0"/>
        </w:tabs>
        <w:ind w:left="1083" w:hanging="363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457FF3"/>
    <w:multiLevelType w:val="hybridMultilevel"/>
    <w:tmpl w:val="56A2EBD8"/>
    <w:lvl w:ilvl="0" w:tplc="2AE84CB0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7">
    <w:nsid w:val="12417B35"/>
    <w:multiLevelType w:val="hybridMultilevel"/>
    <w:tmpl w:val="D328643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481035"/>
    <w:multiLevelType w:val="multilevel"/>
    <w:tmpl w:val="65DE620A"/>
    <w:name w:val="WW8Num3"/>
    <w:lvl w:ilvl="0">
      <w:start w:val="1"/>
      <w:numFmt w:val="decimal"/>
      <w:pStyle w:val="Head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2">
      <w:start w:val="1"/>
      <w:numFmt w:val="decimal"/>
      <w:pStyle w:val="Head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3">
      <w:start w:val="1"/>
      <w:numFmt w:val="decimal"/>
      <w:pStyle w:val="Head4"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4"/>
        <w:u w:val="none"/>
        <w:vertAlign w:val="baseline"/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none"/>
      <w:lvlRestart w:val="1"/>
      <w:suff w:val="space"/>
      <w:lvlText w:val=""/>
      <w:lvlJc w:val="left"/>
      <w:pPr>
        <w:ind w:left="357" w:firstLine="3"/>
      </w:pPr>
      <w:rPr>
        <w:rFonts w:hint="default"/>
      </w:rPr>
    </w:lvl>
    <w:lvl w:ilvl="6">
      <w:start w:val="1"/>
      <w:numFmt w:val="decimal"/>
      <w:pStyle w:val="Head6"/>
      <w:suff w:val="space"/>
      <w:lvlText w:val="%1.%2.%3.%4.%5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0"/>
      <w:suff w:val="space"/>
      <w:lvlText w:val="Рисунок %8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9">
    <w:nsid w:val="1885612D"/>
    <w:multiLevelType w:val="hybridMultilevel"/>
    <w:tmpl w:val="995865C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B50AF0"/>
    <w:multiLevelType w:val="hybridMultilevel"/>
    <w:tmpl w:val="65F02458"/>
    <w:lvl w:ilvl="0" w:tplc="72A8384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9624F6"/>
    <w:multiLevelType w:val="hybridMultilevel"/>
    <w:tmpl w:val="4B5A36E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367C8"/>
    <w:multiLevelType w:val="hybridMultilevel"/>
    <w:tmpl w:val="7E864C6E"/>
    <w:lvl w:ilvl="0" w:tplc="A900CF20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77E3427"/>
    <w:multiLevelType w:val="hybridMultilevel"/>
    <w:tmpl w:val="FB18690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F5A37"/>
    <w:multiLevelType w:val="hybridMultilevel"/>
    <w:tmpl w:val="639CD12E"/>
    <w:lvl w:ilvl="0" w:tplc="779AE1B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31054E53"/>
    <w:multiLevelType w:val="hybridMultilevel"/>
    <w:tmpl w:val="3B3A7A4E"/>
    <w:lvl w:ilvl="0" w:tplc="A14C8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563EC4"/>
    <w:multiLevelType w:val="hybridMultilevel"/>
    <w:tmpl w:val="A34C2A30"/>
    <w:lvl w:ilvl="0" w:tplc="7D6ACCD6">
      <w:start w:val="1"/>
      <w:numFmt w:val="decimal"/>
      <w:lvlText w:val="%1)"/>
      <w:lvlJc w:val="left"/>
      <w:pPr>
        <w:ind w:left="115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7">
    <w:nsid w:val="37C13640"/>
    <w:multiLevelType w:val="hybridMultilevel"/>
    <w:tmpl w:val="32D0C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E96B36"/>
    <w:multiLevelType w:val="multilevel"/>
    <w:tmpl w:val="D70C97E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C43085F"/>
    <w:multiLevelType w:val="hybridMultilevel"/>
    <w:tmpl w:val="0AC457DC"/>
    <w:lvl w:ilvl="0" w:tplc="171E5D6A">
      <w:numFmt w:val="bullet"/>
      <w:lvlText w:val="•"/>
      <w:lvlJc w:val="left"/>
      <w:pPr>
        <w:ind w:left="1080" w:hanging="72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4D1CA7"/>
    <w:multiLevelType w:val="hybridMultilevel"/>
    <w:tmpl w:val="C74ADF3E"/>
    <w:lvl w:ilvl="0" w:tplc="690670E0">
      <w:numFmt w:val="bullet"/>
      <w:lvlText w:val="•"/>
      <w:lvlJc w:val="left"/>
      <w:pPr>
        <w:ind w:left="825" w:hanging="46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74603F"/>
    <w:multiLevelType w:val="hybridMultilevel"/>
    <w:tmpl w:val="EC120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BE51D4"/>
    <w:multiLevelType w:val="hybridMultilevel"/>
    <w:tmpl w:val="B22AAB6C"/>
    <w:lvl w:ilvl="0" w:tplc="A14C8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B67D7A">
      <w:numFmt w:val="bullet"/>
      <w:lvlText w:val="•"/>
      <w:lvlJc w:val="left"/>
      <w:pPr>
        <w:ind w:left="1800" w:hanging="72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352063"/>
    <w:multiLevelType w:val="hybridMultilevel"/>
    <w:tmpl w:val="4554F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B7481"/>
    <w:multiLevelType w:val="hybridMultilevel"/>
    <w:tmpl w:val="F80CA5C0"/>
    <w:lvl w:ilvl="0" w:tplc="0EF048EC">
      <w:numFmt w:val="bullet"/>
      <w:lvlText w:val="•"/>
      <w:lvlJc w:val="left"/>
      <w:pPr>
        <w:ind w:left="1080" w:hanging="72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1B7D7C"/>
    <w:multiLevelType w:val="multilevel"/>
    <w:tmpl w:val="8D6CF81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9E0245"/>
    <w:multiLevelType w:val="hybridMultilevel"/>
    <w:tmpl w:val="658642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264DB3"/>
    <w:multiLevelType w:val="hybridMultilevel"/>
    <w:tmpl w:val="2AD6DCCE"/>
    <w:lvl w:ilvl="0" w:tplc="A14C8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5678DD"/>
    <w:multiLevelType w:val="hybridMultilevel"/>
    <w:tmpl w:val="152A5552"/>
    <w:lvl w:ilvl="0" w:tplc="A14C8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B426C2"/>
    <w:multiLevelType w:val="hybridMultilevel"/>
    <w:tmpl w:val="60308756"/>
    <w:lvl w:ilvl="0" w:tplc="62CA477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>
    <w:nsid w:val="5DA601A0"/>
    <w:multiLevelType w:val="hybridMultilevel"/>
    <w:tmpl w:val="4816E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ED3899"/>
    <w:multiLevelType w:val="hybridMultilevel"/>
    <w:tmpl w:val="09869C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950BFB"/>
    <w:multiLevelType w:val="hybridMultilevel"/>
    <w:tmpl w:val="78D4BB28"/>
    <w:lvl w:ilvl="0" w:tplc="62BAF9E2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7F00A79"/>
    <w:multiLevelType w:val="hybridMultilevel"/>
    <w:tmpl w:val="5A1426EC"/>
    <w:lvl w:ilvl="0" w:tplc="3FB8C040">
      <w:start w:val="1"/>
      <w:numFmt w:val="bullet"/>
      <w:lvlRestart w:val="0"/>
      <w:pStyle w:val="ItemizedList1"/>
      <w:lvlText w:val="-"/>
      <w:lvlJc w:val="left"/>
      <w:pPr>
        <w:tabs>
          <w:tab w:val="num" w:pos="0"/>
        </w:tabs>
        <w:ind w:left="363" w:hanging="363"/>
      </w:pPr>
      <w:rPr>
        <w:rFonts w:ascii="Times New Roman" w:hAnsi="Times New Roman" w:cs="Times New Roman" w:hint="default"/>
      </w:rPr>
    </w:lvl>
    <w:lvl w:ilvl="1" w:tplc="E3CA39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FB050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082D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1A50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8853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AA62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825C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C3431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532278"/>
    <w:multiLevelType w:val="hybridMultilevel"/>
    <w:tmpl w:val="8D6CF818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B22079"/>
    <w:multiLevelType w:val="hybridMultilevel"/>
    <w:tmpl w:val="8D6CF818"/>
    <w:lvl w:ilvl="0" w:tplc="0419000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33"/>
  </w:num>
  <w:num w:numId="7">
    <w:abstractNumId w:val="3"/>
  </w:num>
  <w:num w:numId="8">
    <w:abstractNumId w:val="17"/>
  </w:num>
  <w:num w:numId="9">
    <w:abstractNumId w:val="6"/>
  </w:num>
  <w:num w:numId="10">
    <w:abstractNumId w:val="23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1"/>
  </w:num>
  <w:num w:numId="13">
    <w:abstractNumId w:val="25"/>
  </w:num>
  <w:num w:numId="14">
    <w:abstractNumId w:val="30"/>
  </w:num>
  <w:num w:numId="15">
    <w:abstractNumId w:val="14"/>
  </w:num>
  <w:num w:numId="16">
    <w:abstractNumId w:val="29"/>
  </w:num>
  <w:num w:numId="17">
    <w:abstractNumId w:val="2"/>
  </w:num>
  <w:num w:numId="18">
    <w:abstractNumId w:val="31"/>
  </w:num>
  <w:num w:numId="19">
    <w:abstractNumId w:val="15"/>
  </w:num>
  <w:num w:numId="20">
    <w:abstractNumId w:val="4"/>
  </w:num>
  <w:num w:numId="21">
    <w:abstractNumId w:val="27"/>
  </w:num>
  <w:num w:numId="22">
    <w:abstractNumId w:val="19"/>
  </w:num>
  <w:num w:numId="23">
    <w:abstractNumId w:val="1"/>
  </w:num>
  <w:num w:numId="24">
    <w:abstractNumId w:val="22"/>
  </w:num>
  <w:num w:numId="25">
    <w:abstractNumId w:val="24"/>
  </w:num>
  <w:num w:numId="26">
    <w:abstractNumId w:val="28"/>
  </w:num>
  <w:num w:numId="27">
    <w:abstractNumId w:val="20"/>
  </w:num>
  <w:num w:numId="28">
    <w:abstractNumId w:val="10"/>
  </w:num>
  <w:num w:numId="29">
    <w:abstractNumId w:val="26"/>
  </w:num>
  <w:num w:numId="30">
    <w:abstractNumId w:val="13"/>
  </w:num>
  <w:num w:numId="31">
    <w:abstractNumId w:val="9"/>
  </w:num>
  <w:num w:numId="32">
    <w:abstractNumId w:val="32"/>
  </w:num>
  <w:num w:numId="33">
    <w:abstractNumId w:val="7"/>
  </w:num>
  <w:num w:numId="34">
    <w:abstractNumId w:val="16"/>
  </w:num>
  <w:num w:numId="35">
    <w:abstractNumId w:val="12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4097">
      <v:stroke weight="0" endcap="roun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stroke weight="0" endcap="round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pPr>
      <w:keepNext/>
      <w:keepLines/>
      <w:numPr>
        <w:numId w:val="1"/>
      </w:numPr>
      <w:spacing w:before="120" w:after="240"/>
      <w:outlineLvl w:val="0"/>
    </w:pPr>
    <w:rPr>
      <w:rFonts w:ascii="Arial" w:hAnsi="Arial"/>
      <w:b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qFormat/>
    <w:locked/>
    <w:pPr>
      <w:keepNext/>
      <w:numPr>
        <w:ilvl w:val="1"/>
        <w:numId w:val="1"/>
      </w:numPr>
      <w:spacing w:before="120" w:after="240"/>
      <w:jc w:val="both"/>
      <w:outlineLvl w:val="1"/>
    </w:pPr>
    <w:rPr>
      <w:rFonts w:ascii="Arial" w:hAnsi="Arial"/>
      <w:b/>
      <w:sz w:val="28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locked/>
    <w:pPr>
      <w:keepNext/>
      <w:numPr>
        <w:ilvl w:val="2"/>
        <w:numId w:val="1"/>
      </w:numPr>
      <w:spacing w:before="120" w:after="240"/>
      <w:outlineLvl w:val="2"/>
    </w:pPr>
    <w:rPr>
      <w:rFonts w:ascii="Arial" w:hAnsi="Arial"/>
      <w:b/>
      <w:bCs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locked/>
    <w:pPr>
      <w:keepNext/>
      <w:numPr>
        <w:ilvl w:val="3"/>
        <w:numId w:val="1"/>
      </w:numPr>
      <w:spacing w:after="240"/>
      <w:jc w:val="center"/>
      <w:outlineLvl w:val="3"/>
    </w:pPr>
    <w:rPr>
      <w:rFonts w:ascii="Garamond" w:hAnsi="Garamond"/>
      <w:b/>
      <w:bCs/>
      <w:sz w:val="28"/>
      <w:szCs w:val="20"/>
      <w:lang w:val="ru-RU" w:eastAsia="ru-RU"/>
    </w:rPr>
  </w:style>
  <w:style w:type="paragraph" w:styleId="5">
    <w:name w:val="heading 5"/>
    <w:basedOn w:val="a"/>
    <w:next w:val="a"/>
    <w:link w:val="50"/>
    <w:qFormat/>
    <w:locked/>
    <w:pPr>
      <w:keepNext/>
      <w:numPr>
        <w:ilvl w:val="4"/>
        <w:numId w:val="1"/>
      </w:numPr>
      <w:spacing w:after="240"/>
      <w:jc w:val="both"/>
      <w:outlineLvl w:val="4"/>
    </w:pPr>
    <w:rPr>
      <w:rFonts w:ascii="Garamond" w:hAnsi="Garamond"/>
      <w:i/>
      <w:iCs/>
      <w:szCs w:val="20"/>
      <w:lang w:val="ru-RU" w:eastAsia="ru-RU"/>
    </w:rPr>
  </w:style>
  <w:style w:type="paragraph" w:styleId="6">
    <w:name w:val="heading 6"/>
    <w:basedOn w:val="a"/>
    <w:next w:val="a"/>
    <w:link w:val="60"/>
    <w:qFormat/>
    <w:locked/>
    <w:pPr>
      <w:keepNext/>
      <w:numPr>
        <w:ilvl w:val="5"/>
        <w:numId w:val="1"/>
      </w:numPr>
      <w:spacing w:after="240"/>
      <w:jc w:val="both"/>
      <w:outlineLvl w:val="5"/>
    </w:pPr>
    <w:rPr>
      <w:rFonts w:ascii="Garamond" w:hAnsi="Garamond"/>
      <w:b/>
      <w:sz w:val="28"/>
      <w:szCs w:val="20"/>
      <w:lang w:val="ru-RU" w:eastAsia="ru-RU"/>
    </w:rPr>
  </w:style>
  <w:style w:type="paragraph" w:styleId="7">
    <w:name w:val="heading 7"/>
    <w:basedOn w:val="a"/>
    <w:next w:val="a"/>
    <w:link w:val="70"/>
    <w:qFormat/>
    <w:locked/>
    <w:pPr>
      <w:keepNext/>
      <w:numPr>
        <w:ilvl w:val="6"/>
        <w:numId w:val="1"/>
      </w:numPr>
      <w:spacing w:after="240"/>
      <w:jc w:val="both"/>
      <w:outlineLvl w:val="6"/>
    </w:pPr>
    <w:rPr>
      <w:rFonts w:ascii="Garamond" w:hAnsi="Garamond"/>
      <w:sz w:val="36"/>
      <w:szCs w:val="20"/>
      <w:lang w:val="ru-RU" w:eastAsia="ru-RU"/>
    </w:rPr>
  </w:style>
  <w:style w:type="paragraph" w:styleId="8">
    <w:name w:val="heading 8"/>
    <w:basedOn w:val="a"/>
    <w:next w:val="a"/>
    <w:link w:val="80"/>
    <w:qFormat/>
    <w:locked/>
    <w:pPr>
      <w:keepNext/>
      <w:widowControl w:val="0"/>
      <w:numPr>
        <w:ilvl w:val="7"/>
        <w:numId w:val="1"/>
      </w:numPr>
      <w:spacing w:after="240"/>
      <w:jc w:val="center"/>
      <w:outlineLvl w:val="7"/>
    </w:pPr>
    <w:rPr>
      <w:rFonts w:ascii="Garamond" w:hAnsi="Garamond"/>
      <w:b/>
      <w:snapToGrid w:val="0"/>
      <w:szCs w:val="20"/>
      <w:lang w:val="ru-RU" w:eastAsia="ru-RU"/>
    </w:rPr>
  </w:style>
  <w:style w:type="paragraph" w:styleId="9">
    <w:name w:val="heading 9"/>
    <w:basedOn w:val="a"/>
    <w:next w:val="a"/>
    <w:link w:val="90"/>
    <w:qFormat/>
    <w:locked/>
    <w:pPr>
      <w:keepNext/>
      <w:numPr>
        <w:ilvl w:val="8"/>
        <w:numId w:val="1"/>
      </w:numPr>
      <w:spacing w:after="240"/>
      <w:jc w:val="both"/>
      <w:outlineLvl w:val="8"/>
    </w:pPr>
    <w:rPr>
      <w:rFonts w:ascii="Arial" w:hAnsi="Arial"/>
      <w:szCs w:val="20"/>
      <w:u w:val="single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hAnsi="Arial"/>
      <w:b/>
      <w:sz w:val="32"/>
      <w:szCs w:val="32"/>
    </w:rPr>
  </w:style>
  <w:style w:type="character" w:customStyle="1" w:styleId="20">
    <w:name w:val="Заголовок 2 Знак"/>
    <w:basedOn w:val="a0"/>
    <w:link w:val="2"/>
    <w:rPr>
      <w:rFonts w:ascii="Arial" w:hAnsi="Arial"/>
      <w:b/>
      <w:sz w:val="28"/>
    </w:rPr>
  </w:style>
  <w:style w:type="character" w:customStyle="1" w:styleId="30">
    <w:name w:val="Заголовок 3 Знак"/>
    <w:basedOn w:val="a0"/>
    <w:link w:val="3"/>
    <w:rPr>
      <w:rFonts w:ascii="Arial" w:hAnsi="Arial"/>
      <w:b/>
      <w:bCs/>
      <w:sz w:val="24"/>
    </w:rPr>
  </w:style>
  <w:style w:type="character" w:customStyle="1" w:styleId="40">
    <w:name w:val="Заголовок 4 Знак"/>
    <w:basedOn w:val="a0"/>
    <w:link w:val="4"/>
    <w:rPr>
      <w:rFonts w:ascii="Garamond" w:hAnsi="Garamond"/>
      <w:b/>
      <w:bCs/>
      <w:sz w:val="28"/>
    </w:rPr>
  </w:style>
  <w:style w:type="character" w:customStyle="1" w:styleId="50">
    <w:name w:val="Заголовок 5 Знак"/>
    <w:basedOn w:val="a0"/>
    <w:link w:val="5"/>
    <w:rPr>
      <w:rFonts w:ascii="Garamond" w:hAnsi="Garamond"/>
      <w:i/>
      <w:iCs/>
      <w:sz w:val="24"/>
    </w:rPr>
  </w:style>
  <w:style w:type="character" w:customStyle="1" w:styleId="60">
    <w:name w:val="Заголовок 6 Знак"/>
    <w:basedOn w:val="a0"/>
    <w:link w:val="6"/>
    <w:rPr>
      <w:rFonts w:ascii="Garamond" w:hAnsi="Garamond"/>
      <w:b/>
      <w:sz w:val="28"/>
    </w:rPr>
  </w:style>
  <w:style w:type="character" w:customStyle="1" w:styleId="70">
    <w:name w:val="Заголовок 7 Знак"/>
    <w:basedOn w:val="a0"/>
    <w:link w:val="7"/>
    <w:rPr>
      <w:rFonts w:ascii="Garamond" w:hAnsi="Garamond"/>
      <w:sz w:val="36"/>
    </w:rPr>
  </w:style>
  <w:style w:type="character" w:customStyle="1" w:styleId="80">
    <w:name w:val="Заголовок 8 Знак"/>
    <w:basedOn w:val="a0"/>
    <w:link w:val="8"/>
    <w:rPr>
      <w:rFonts w:ascii="Garamond" w:hAnsi="Garamond"/>
      <w:b/>
      <w:snapToGrid w:val="0"/>
      <w:sz w:val="24"/>
    </w:rPr>
  </w:style>
  <w:style w:type="character" w:customStyle="1" w:styleId="90">
    <w:name w:val="Заголовок 9 Знак"/>
    <w:basedOn w:val="a0"/>
    <w:link w:val="9"/>
    <w:rPr>
      <w:rFonts w:ascii="Arial" w:hAnsi="Arial"/>
      <w:sz w:val="24"/>
      <w:u w:val="single"/>
    </w:rPr>
  </w:style>
  <w:style w:type="paragraph" w:styleId="a3">
    <w:name w:val="header"/>
    <w:basedOn w:val="a"/>
    <w:link w:val="a4"/>
    <w:lock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Pr>
      <w:sz w:val="24"/>
      <w:szCs w:val="24"/>
      <w:lang w:val="en-US" w:eastAsia="en-US"/>
    </w:rPr>
  </w:style>
  <w:style w:type="paragraph" w:styleId="a5">
    <w:name w:val="footer"/>
    <w:basedOn w:val="a"/>
    <w:link w:val="a6"/>
    <w:lock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Pr>
      <w:sz w:val="24"/>
      <w:szCs w:val="24"/>
      <w:lang w:val="en-US" w:eastAsia="en-US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locked/>
    <w:pPr>
      <w:spacing w:before="100" w:beforeAutospacing="1" w:after="100" w:afterAutospacing="1"/>
    </w:pPr>
    <w:rPr>
      <w:lang w:val="ru-RU" w:eastAsia="ru-RU"/>
    </w:rPr>
  </w:style>
  <w:style w:type="paragraph" w:styleId="aa">
    <w:name w:val="Balloon Text"/>
    <w:basedOn w:val="a"/>
    <w:link w:val="ab"/>
    <w:lock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Pr>
      <w:rFonts w:ascii="Tahoma" w:hAnsi="Tahoma" w:cs="Tahoma"/>
      <w:sz w:val="16"/>
      <w:szCs w:val="16"/>
      <w:lang w:val="en-US" w:eastAsia="en-US"/>
    </w:r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styleId="ac">
    <w:name w:val="annotation reference"/>
    <w:basedOn w:val="a0"/>
    <w:locked/>
    <w:rPr>
      <w:sz w:val="18"/>
      <w:szCs w:val="18"/>
    </w:rPr>
  </w:style>
  <w:style w:type="paragraph" w:styleId="ad">
    <w:name w:val="annotation text"/>
    <w:basedOn w:val="a"/>
    <w:link w:val="ae"/>
    <w:locked/>
  </w:style>
  <w:style w:type="character" w:customStyle="1" w:styleId="ae">
    <w:name w:val="Текст примечания Знак"/>
    <w:basedOn w:val="a0"/>
    <w:link w:val="ad"/>
    <w:rPr>
      <w:sz w:val="24"/>
      <w:szCs w:val="24"/>
      <w:lang w:val="en-US" w:eastAsia="en-US"/>
    </w:rPr>
  </w:style>
  <w:style w:type="paragraph" w:styleId="af">
    <w:name w:val="annotation subject"/>
    <w:basedOn w:val="ad"/>
    <w:next w:val="ad"/>
    <w:link w:val="af0"/>
    <w:locked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rPr>
      <w:b/>
      <w:bCs/>
      <w:sz w:val="24"/>
      <w:szCs w:val="24"/>
      <w:lang w:val="en-US" w:eastAsia="en-US"/>
    </w:rPr>
  </w:style>
  <w:style w:type="table" w:styleId="af1">
    <w:name w:val="Table Grid"/>
    <w:basedOn w:val="a1"/>
    <w:lock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екст документа"/>
    <w:basedOn w:val="a"/>
    <w:uiPriority w:val="99"/>
    <w:pPr>
      <w:widowControl w:val="0"/>
      <w:autoSpaceDE w:val="0"/>
      <w:autoSpaceDN w:val="0"/>
      <w:adjustRightInd w:val="0"/>
      <w:spacing w:before="120" w:after="120"/>
      <w:ind w:firstLine="709"/>
      <w:contextualSpacing/>
      <w:jc w:val="both"/>
    </w:pPr>
    <w:rPr>
      <w:rFonts w:eastAsia="Calibri"/>
      <w:lang w:val="ru-RU" w:eastAsia="ru-RU"/>
    </w:rPr>
  </w:style>
  <w:style w:type="character" w:customStyle="1" w:styleId="apple-converted-space">
    <w:name w:val="apple-converted-space"/>
    <w:basedOn w:val="a0"/>
  </w:style>
  <w:style w:type="character" w:customStyle="1" w:styleId="a8">
    <w:name w:val="Абзац списка Знак"/>
    <w:link w:val="a7"/>
    <w:uiPriority w:val="34"/>
    <w:locked/>
    <w:rPr>
      <w:sz w:val="24"/>
      <w:szCs w:val="24"/>
      <w:lang w:val="en-US" w:eastAsia="en-US"/>
    </w:rPr>
  </w:style>
  <w:style w:type="character" w:styleId="af3">
    <w:name w:val="Hyperlink"/>
    <w:basedOn w:val="a0"/>
    <w:uiPriority w:val="99"/>
    <w:unhideWhenUsed/>
    <w:locked/>
    <w:rPr>
      <w:color w:val="0000FF"/>
      <w:u w:val="single"/>
    </w:rPr>
  </w:style>
  <w:style w:type="character" w:styleId="af4">
    <w:name w:val="Strong"/>
    <w:basedOn w:val="a0"/>
    <w:qFormat/>
    <w:locked/>
    <w:rPr>
      <w:b/>
      <w:bCs/>
    </w:rPr>
  </w:style>
  <w:style w:type="paragraph" w:styleId="af5">
    <w:name w:val="TOC Heading"/>
    <w:basedOn w:val="1"/>
    <w:next w:val="a"/>
    <w:uiPriority w:val="39"/>
    <w:semiHidden/>
    <w:unhideWhenUsed/>
    <w:qFormat/>
    <w:pPr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locked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qFormat/>
    <w:locked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qFormat/>
    <w:locked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f6">
    <w:name w:val="footnote text"/>
    <w:basedOn w:val="a"/>
    <w:link w:val="af7"/>
    <w:uiPriority w:val="99"/>
    <w:unhideWhenUsed/>
    <w:locked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Pr>
      <w:lang w:val="en-US" w:eastAsia="en-US"/>
    </w:rPr>
  </w:style>
  <w:style w:type="character" w:styleId="af8">
    <w:name w:val="footnote reference"/>
    <w:basedOn w:val="a0"/>
    <w:uiPriority w:val="99"/>
    <w:unhideWhenUsed/>
    <w:locked/>
    <w:rPr>
      <w:vertAlign w:val="superscript"/>
    </w:rPr>
  </w:style>
  <w:style w:type="table" w:customStyle="1" w:styleId="12">
    <w:name w:val="Сетка таблицы1"/>
    <w:basedOn w:val="a1"/>
    <w:next w:val="af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lock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hAnsi="Courier New" w:cs="Courier New"/>
    </w:rPr>
  </w:style>
  <w:style w:type="paragraph" w:customStyle="1" w:styleId="Head1">
    <w:name w:val="Head1"/>
    <w:next w:val="a"/>
    <w:pPr>
      <w:keepNext/>
      <w:numPr>
        <w:numId w:val="4"/>
      </w:numPr>
      <w:spacing w:before="480" w:after="120"/>
      <w:jc w:val="both"/>
      <w:outlineLvl w:val="0"/>
    </w:pPr>
    <w:rPr>
      <w:b/>
      <w:bCs/>
      <w:sz w:val="32"/>
      <w:szCs w:val="32"/>
    </w:rPr>
  </w:style>
  <w:style w:type="paragraph" w:customStyle="1" w:styleId="Head2">
    <w:name w:val="Head2"/>
    <w:next w:val="a"/>
    <w:pPr>
      <w:keepNext/>
      <w:numPr>
        <w:ilvl w:val="1"/>
        <w:numId w:val="4"/>
      </w:numPr>
      <w:spacing w:before="120" w:after="120"/>
      <w:jc w:val="both"/>
      <w:outlineLvl w:val="1"/>
    </w:pPr>
    <w:rPr>
      <w:rFonts w:eastAsia="Calibri"/>
      <w:b/>
      <w:bCs/>
      <w:sz w:val="28"/>
      <w:szCs w:val="28"/>
    </w:rPr>
  </w:style>
  <w:style w:type="paragraph" w:customStyle="1" w:styleId="Head3">
    <w:name w:val="Head3"/>
    <w:next w:val="a"/>
    <w:pPr>
      <w:keepNext/>
      <w:keepLines/>
      <w:numPr>
        <w:ilvl w:val="2"/>
        <w:numId w:val="4"/>
      </w:numPr>
      <w:spacing w:before="120" w:after="120"/>
      <w:jc w:val="both"/>
      <w:outlineLvl w:val="2"/>
    </w:pPr>
    <w:rPr>
      <w:rFonts w:eastAsia="Calibri"/>
      <w:b/>
      <w:bCs/>
      <w:sz w:val="28"/>
      <w:szCs w:val="28"/>
    </w:rPr>
  </w:style>
  <w:style w:type="paragraph" w:customStyle="1" w:styleId="Head4">
    <w:name w:val="Head4"/>
    <w:next w:val="a"/>
    <w:pPr>
      <w:keepNext/>
      <w:numPr>
        <w:ilvl w:val="3"/>
        <w:numId w:val="4"/>
      </w:numPr>
      <w:spacing w:before="120" w:after="120"/>
      <w:jc w:val="both"/>
      <w:outlineLvl w:val="3"/>
    </w:pPr>
    <w:rPr>
      <w:b/>
      <w:bCs/>
      <w:sz w:val="24"/>
      <w:szCs w:val="24"/>
    </w:rPr>
  </w:style>
  <w:style w:type="paragraph" w:customStyle="1" w:styleId="Head5">
    <w:name w:val="Head5"/>
    <w:next w:val="a"/>
    <w:pPr>
      <w:keepNext/>
      <w:numPr>
        <w:ilvl w:val="4"/>
        <w:numId w:val="4"/>
      </w:numPr>
      <w:spacing w:before="120" w:after="120"/>
      <w:jc w:val="both"/>
      <w:outlineLvl w:val="4"/>
    </w:pPr>
    <w:rPr>
      <w:b/>
      <w:iCs/>
      <w:sz w:val="24"/>
      <w:szCs w:val="24"/>
    </w:rPr>
  </w:style>
  <w:style w:type="paragraph" w:customStyle="1" w:styleId="TableInscription">
    <w:name w:val="TableInscription"/>
    <w:next w:val="a"/>
    <w:qFormat/>
    <w:pPr>
      <w:keepNext/>
      <w:numPr>
        <w:ilvl w:val="8"/>
        <w:numId w:val="4"/>
      </w:numPr>
      <w:spacing w:before="240" w:after="120"/>
    </w:pPr>
    <w:rPr>
      <w:sz w:val="24"/>
    </w:rPr>
  </w:style>
  <w:style w:type="paragraph" w:customStyle="1" w:styleId="Head6">
    <w:name w:val="Head6"/>
    <w:next w:val="a"/>
    <w:pPr>
      <w:numPr>
        <w:ilvl w:val="6"/>
        <w:numId w:val="4"/>
      </w:numPr>
    </w:pPr>
    <w:rPr>
      <w:b/>
      <w:i/>
      <w:sz w:val="22"/>
      <w:szCs w:val="24"/>
    </w:rPr>
  </w:style>
  <w:style w:type="paragraph" w:customStyle="1" w:styleId="PlainText">
    <w:name w:val="PlainText"/>
    <w:link w:val="PlainText0"/>
    <w:qFormat/>
    <w:pPr>
      <w:spacing w:before="120"/>
      <w:ind w:firstLine="567"/>
      <w:jc w:val="both"/>
    </w:pPr>
    <w:rPr>
      <w:sz w:val="26"/>
      <w:szCs w:val="24"/>
    </w:rPr>
  </w:style>
  <w:style w:type="character" w:customStyle="1" w:styleId="PlainText0">
    <w:name w:val="PlainText Знак"/>
    <w:link w:val="PlainText"/>
    <w:rPr>
      <w:sz w:val="26"/>
      <w:szCs w:val="24"/>
    </w:rPr>
  </w:style>
  <w:style w:type="paragraph" w:customStyle="1" w:styleId="ItemizedList1">
    <w:name w:val="ItemizedList1"/>
    <w:basedOn w:val="a"/>
    <w:link w:val="ItemizedList10"/>
    <w:qFormat/>
    <w:pPr>
      <w:numPr>
        <w:numId w:val="6"/>
      </w:numPr>
      <w:spacing w:before="120" w:after="120"/>
      <w:jc w:val="both"/>
    </w:pPr>
    <w:rPr>
      <w:rFonts w:eastAsia="Calibri"/>
      <w:sz w:val="26"/>
    </w:rPr>
  </w:style>
  <w:style w:type="character" w:customStyle="1" w:styleId="ItemizedList10">
    <w:name w:val="ItemizedList1 Знак"/>
    <w:link w:val="ItemizedList1"/>
    <w:rPr>
      <w:rFonts w:eastAsia="Calibri"/>
      <w:sz w:val="26"/>
      <w:szCs w:val="24"/>
      <w:lang w:val="en-US" w:eastAsia="en-US"/>
    </w:rPr>
  </w:style>
  <w:style w:type="paragraph" w:customStyle="1" w:styleId="ItemizedList2">
    <w:name w:val="ItemizedList2"/>
    <w:qFormat/>
    <w:pPr>
      <w:numPr>
        <w:numId w:val="5"/>
      </w:numPr>
      <w:spacing w:before="120"/>
      <w:jc w:val="both"/>
    </w:pPr>
    <w:rPr>
      <w:sz w:val="26"/>
      <w:szCs w:val="24"/>
    </w:rPr>
  </w:style>
  <w:style w:type="paragraph" w:customStyle="1" w:styleId="Orderedlist2">
    <w:name w:val="Orderedlist2"/>
    <w:basedOn w:val="a"/>
    <w:pPr>
      <w:numPr>
        <w:ilvl w:val="1"/>
        <w:numId w:val="7"/>
      </w:numPr>
      <w:spacing w:before="120" w:after="120"/>
      <w:jc w:val="both"/>
    </w:pPr>
    <w:rPr>
      <w:lang w:val="ru-RU" w:eastAsia="ru-RU"/>
    </w:rPr>
  </w:style>
  <w:style w:type="paragraph" w:customStyle="1" w:styleId="Orderedlist1">
    <w:name w:val="Orderedlist1"/>
    <w:basedOn w:val="a"/>
    <w:pPr>
      <w:numPr>
        <w:numId w:val="7"/>
      </w:numPr>
      <w:spacing w:before="120" w:after="120"/>
      <w:jc w:val="both"/>
    </w:pPr>
    <w:rPr>
      <w:sz w:val="26"/>
      <w:lang w:val="ru-RU" w:eastAsia="ru-RU"/>
    </w:rPr>
  </w:style>
  <w:style w:type="paragraph" w:customStyle="1" w:styleId="OrderedList3">
    <w:name w:val="OrderedList3"/>
    <w:basedOn w:val="a"/>
    <w:pPr>
      <w:numPr>
        <w:ilvl w:val="2"/>
        <w:numId w:val="7"/>
      </w:numPr>
      <w:spacing w:before="120" w:after="120"/>
      <w:jc w:val="both"/>
    </w:pPr>
    <w:rPr>
      <w:lang w:val="ru-RU" w:eastAsia="ru-RU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pPr>
      <w:keepNext/>
      <w:keepLines/>
      <w:numPr>
        <w:numId w:val="1"/>
      </w:numPr>
      <w:spacing w:before="120" w:after="240"/>
      <w:outlineLvl w:val="0"/>
    </w:pPr>
    <w:rPr>
      <w:rFonts w:ascii="Arial" w:hAnsi="Arial"/>
      <w:b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qFormat/>
    <w:locked/>
    <w:pPr>
      <w:keepNext/>
      <w:numPr>
        <w:ilvl w:val="1"/>
        <w:numId w:val="1"/>
      </w:numPr>
      <w:spacing w:before="120" w:after="240"/>
      <w:jc w:val="both"/>
      <w:outlineLvl w:val="1"/>
    </w:pPr>
    <w:rPr>
      <w:rFonts w:ascii="Arial" w:hAnsi="Arial"/>
      <w:b/>
      <w:sz w:val="28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locked/>
    <w:pPr>
      <w:keepNext/>
      <w:numPr>
        <w:ilvl w:val="2"/>
        <w:numId w:val="1"/>
      </w:numPr>
      <w:spacing w:before="120" w:after="240"/>
      <w:outlineLvl w:val="2"/>
    </w:pPr>
    <w:rPr>
      <w:rFonts w:ascii="Arial" w:hAnsi="Arial"/>
      <w:b/>
      <w:bCs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locked/>
    <w:pPr>
      <w:keepNext/>
      <w:numPr>
        <w:ilvl w:val="3"/>
        <w:numId w:val="1"/>
      </w:numPr>
      <w:spacing w:after="240"/>
      <w:jc w:val="center"/>
      <w:outlineLvl w:val="3"/>
    </w:pPr>
    <w:rPr>
      <w:rFonts w:ascii="Garamond" w:hAnsi="Garamond"/>
      <w:b/>
      <w:bCs/>
      <w:sz w:val="28"/>
      <w:szCs w:val="20"/>
      <w:lang w:val="ru-RU" w:eastAsia="ru-RU"/>
    </w:rPr>
  </w:style>
  <w:style w:type="paragraph" w:styleId="5">
    <w:name w:val="heading 5"/>
    <w:basedOn w:val="a"/>
    <w:next w:val="a"/>
    <w:link w:val="50"/>
    <w:qFormat/>
    <w:locked/>
    <w:pPr>
      <w:keepNext/>
      <w:numPr>
        <w:ilvl w:val="4"/>
        <w:numId w:val="1"/>
      </w:numPr>
      <w:spacing w:after="240"/>
      <w:jc w:val="both"/>
      <w:outlineLvl w:val="4"/>
    </w:pPr>
    <w:rPr>
      <w:rFonts w:ascii="Garamond" w:hAnsi="Garamond"/>
      <w:i/>
      <w:iCs/>
      <w:szCs w:val="20"/>
      <w:lang w:val="ru-RU" w:eastAsia="ru-RU"/>
    </w:rPr>
  </w:style>
  <w:style w:type="paragraph" w:styleId="6">
    <w:name w:val="heading 6"/>
    <w:basedOn w:val="a"/>
    <w:next w:val="a"/>
    <w:link w:val="60"/>
    <w:qFormat/>
    <w:locked/>
    <w:pPr>
      <w:keepNext/>
      <w:numPr>
        <w:ilvl w:val="5"/>
        <w:numId w:val="1"/>
      </w:numPr>
      <w:spacing w:after="240"/>
      <w:jc w:val="both"/>
      <w:outlineLvl w:val="5"/>
    </w:pPr>
    <w:rPr>
      <w:rFonts w:ascii="Garamond" w:hAnsi="Garamond"/>
      <w:b/>
      <w:sz w:val="28"/>
      <w:szCs w:val="20"/>
      <w:lang w:val="ru-RU" w:eastAsia="ru-RU"/>
    </w:rPr>
  </w:style>
  <w:style w:type="paragraph" w:styleId="7">
    <w:name w:val="heading 7"/>
    <w:basedOn w:val="a"/>
    <w:next w:val="a"/>
    <w:link w:val="70"/>
    <w:qFormat/>
    <w:locked/>
    <w:pPr>
      <w:keepNext/>
      <w:numPr>
        <w:ilvl w:val="6"/>
        <w:numId w:val="1"/>
      </w:numPr>
      <w:spacing w:after="240"/>
      <w:jc w:val="both"/>
      <w:outlineLvl w:val="6"/>
    </w:pPr>
    <w:rPr>
      <w:rFonts w:ascii="Garamond" w:hAnsi="Garamond"/>
      <w:sz w:val="36"/>
      <w:szCs w:val="20"/>
      <w:lang w:val="ru-RU" w:eastAsia="ru-RU"/>
    </w:rPr>
  </w:style>
  <w:style w:type="paragraph" w:styleId="8">
    <w:name w:val="heading 8"/>
    <w:basedOn w:val="a"/>
    <w:next w:val="a"/>
    <w:link w:val="80"/>
    <w:qFormat/>
    <w:locked/>
    <w:pPr>
      <w:keepNext/>
      <w:widowControl w:val="0"/>
      <w:numPr>
        <w:ilvl w:val="7"/>
        <w:numId w:val="1"/>
      </w:numPr>
      <w:spacing w:after="240"/>
      <w:jc w:val="center"/>
      <w:outlineLvl w:val="7"/>
    </w:pPr>
    <w:rPr>
      <w:rFonts w:ascii="Garamond" w:hAnsi="Garamond"/>
      <w:b/>
      <w:snapToGrid w:val="0"/>
      <w:szCs w:val="20"/>
      <w:lang w:val="ru-RU" w:eastAsia="ru-RU"/>
    </w:rPr>
  </w:style>
  <w:style w:type="paragraph" w:styleId="9">
    <w:name w:val="heading 9"/>
    <w:basedOn w:val="a"/>
    <w:next w:val="a"/>
    <w:link w:val="90"/>
    <w:qFormat/>
    <w:locked/>
    <w:pPr>
      <w:keepNext/>
      <w:numPr>
        <w:ilvl w:val="8"/>
        <w:numId w:val="1"/>
      </w:numPr>
      <w:spacing w:after="240"/>
      <w:jc w:val="both"/>
      <w:outlineLvl w:val="8"/>
    </w:pPr>
    <w:rPr>
      <w:rFonts w:ascii="Arial" w:hAnsi="Arial"/>
      <w:szCs w:val="20"/>
      <w:u w:val="single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hAnsi="Arial"/>
      <w:b/>
      <w:sz w:val="32"/>
      <w:szCs w:val="32"/>
    </w:rPr>
  </w:style>
  <w:style w:type="character" w:customStyle="1" w:styleId="20">
    <w:name w:val="Заголовок 2 Знак"/>
    <w:basedOn w:val="a0"/>
    <w:link w:val="2"/>
    <w:rPr>
      <w:rFonts w:ascii="Arial" w:hAnsi="Arial"/>
      <w:b/>
      <w:sz w:val="28"/>
    </w:rPr>
  </w:style>
  <w:style w:type="character" w:customStyle="1" w:styleId="30">
    <w:name w:val="Заголовок 3 Знак"/>
    <w:basedOn w:val="a0"/>
    <w:link w:val="3"/>
    <w:rPr>
      <w:rFonts w:ascii="Arial" w:hAnsi="Arial"/>
      <w:b/>
      <w:bCs/>
      <w:sz w:val="24"/>
    </w:rPr>
  </w:style>
  <w:style w:type="character" w:customStyle="1" w:styleId="40">
    <w:name w:val="Заголовок 4 Знак"/>
    <w:basedOn w:val="a0"/>
    <w:link w:val="4"/>
    <w:rPr>
      <w:rFonts w:ascii="Garamond" w:hAnsi="Garamond"/>
      <w:b/>
      <w:bCs/>
      <w:sz w:val="28"/>
    </w:rPr>
  </w:style>
  <w:style w:type="character" w:customStyle="1" w:styleId="50">
    <w:name w:val="Заголовок 5 Знак"/>
    <w:basedOn w:val="a0"/>
    <w:link w:val="5"/>
    <w:rPr>
      <w:rFonts w:ascii="Garamond" w:hAnsi="Garamond"/>
      <w:i/>
      <w:iCs/>
      <w:sz w:val="24"/>
    </w:rPr>
  </w:style>
  <w:style w:type="character" w:customStyle="1" w:styleId="60">
    <w:name w:val="Заголовок 6 Знак"/>
    <w:basedOn w:val="a0"/>
    <w:link w:val="6"/>
    <w:rPr>
      <w:rFonts w:ascii="Garamond" w:hAnsi="Garamond"/>
      <w:b/>
      <w:sz w:val="28"/>
    </w:rPr>
  </w:style>
  <w:style w:type="character" w:customStyle="1" w:styleId="70">
    <w:name w:val="Заголовок 7 Знак"/>
    <w:basedOn w:val="a0"/>
    <w:link w:val="7"/>
    <w:rPr>
      <w:rFonts w:ascii="Garamond" w:hAnsi="Garamond"/>
      <w:sz w:val="36"/>
    </w:rPr>
  </w:style>
  <w:style w:type="character" w:customStyle="1" w:styleId="80">
    <w:name w:val="Заголовок 8 Знак"/>
    <w:basedOn w:val="a0"/>
    <w:link w:val="8"/>
    <w:rPr>
      <w:rFonts w:ascii="Garamond" w:hAnsi="Garamond"/>
      <w:b/>
      <w:snapToGrid w:val="0"/>
      <w:sz w:val="24"/>
    </w:rPr>
  </w:style>
  <w:style w:type="character" w:customStyle="1" w:styleId="90">
    <w:name w:val="Заголовок 9 Знак"/>
    <w:basedOn w:val="a0"/>
    <w:link w:val="9"/>
    <w:rPr>
      <w:rFonts w:ascii="Arial" w:hAnsi="Arial"/>
      <w:sz w:val="24"/>
      <w:u w:val="single"/>
    </w:rPr>
  </w:style>
  <w:style w:type="paragraph" w:styleId="a3">
    <w:name w:val="header"/>
    <w:basedOn w:val="a"/>
    <w:link w:val="a4"/>
    <w:lock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Pr>
      <w:sz w:val="24"/>
      <w:szCs w:val="24"/>
      <w:lang w:val="en-US" w:eastAsia="en-US"/>
    </w:rPr>
  </w:style>
  <w:style w:type="paragraph" w:styleId="a5">
    <w:name w:val="footer"/>
    <w:basedOn w:val="a"/>
    <w:link w:val="a6"/>
    <w:lock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Pr>
      <w:sz w:val="24"/>
      <w:szCs w:val="24"/>
      <w:lang w:val="en-US" w:eastAsia="en-US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locked/>
    <w:pPr>
      <w:spacing w:before="100" w:beforeAutospacing="1" w:after="100" w:afterAutospacing="1"/>
    </w:pPr>
    <w:rPr>
      <w:lang w:val="ru-RU" w:eastAsia="ru-RU"/>
    </w:rPr>
  </w:style>
  <w:style w:type="paragraph" w:styleId="aa">
    <w:name w:val="Balloon Text"/>
    <w:basedOn w:val="a"/>
    <w:link w:val="ab"/>
    <w:lock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Pr>
      <w:rFonts w:ascii="Tahoma" w:hAnsi="Tahoma" w:cs="Tahoma"/>
      <w:sz w:val="16"/>
      <w:szCs w:val="16"/>
      <w:lang w:val="en-US" w:eastAsia="en-US"/>
    </w:r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styleId="ac">
    <w:name w:val="annotation reference"/>
    <w:basedOn w:val="a0"/>
    <w:locked/>
    <w:rPr>
      <w:sz w:val="18"/>
      <w:szCs w:val="18"/>
    </w:rPr>
  </w:style>
  <w:style w:type="paragraph" w:styleId="ad">
    <w:name w:val="annotation text"/>
    <w:basedOn w:val="a"/>
    <w:link w:val="ae"/>
    <w:locked/>
  </w:style>
  <w:style w:type="character" w:customStyle="1" w:styleId="ae">
    <w:name w:val="Текст примечания Знак"/>
    <w:basedOn w:val="a0"/>
    <w:link w:val="ad"/>
    <w:rPr>
      <w:sz w:val="24"/>
      <w:szCs w:val="24"/>
      <w:lang w:val="en-US" w:eastAsia="en-US"/>
    </w:rPr>
  </w:style>
  <w:style w:type="paragraph" w:styleId="af">
    <w:name w:val="annotation subject"/>
    <w:basedOn w:val="ad"/>
    <w:next w:val="ad"/>
    <w:link w:val="af0"/>
    <w:locked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rPr>
      <w:b/>
      <w:bCs/>
      <w:sz w:val="24"/>
      <w:szCs w:val="24"/>
      <w:lang w:val="en-US" w:eastAsia="en-US"/>
    </w:rPr>
  </w:style>
  <w:style w:type="table" w:styleId="af1">
    <w:name w:val="Table Grid"/>
    <w:basedOn w:val="a1"/>
    <w:lock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екст документа"/>
    <w:basedOn w:val="a"/>
    <w:uiPriority w:val="99"/>
    <w:pPr>
      <w:widowControl w:val="0"/>
      <w:autoSpaceDE w:val="0"/>
      <w:autoSpaceDN w:val="0"/>
      <w:adjustRightInd w:val="0"/>
      <w:spacing w:before="120" w:after="120"/>
      <w:ind w:firstLine="709"/>
      <w:contextualSpacing/>
      <w:jc w:val="both"/>
    </w:pPr>
    <w:rPr>
      <w:rFonts w:eastAsia="Calibri"/>
      <w:lang w:val="ru-RU" w:eastAsia="ru-RU"/>
    </w:rPr>
  </w:style>
  <w:style w:type="character" w:customStyle="1" w:styleId="apple-converted-space">
    <w:name w:val="apple-converted-space"/>
    <w:basedOn w:val="a0"/>
  </w:style>
  <w:style w:type="character" w:customStyle="1" w:styleId="a8">
    <w:name w:val="Абзац списка Знак"/>
    <w:link w:val="a7"/>
    <w:uiPriority w:val="34"/>
    <w:locked/>
    <w:rPr>
      <w:sz w:val="24"/>
      <w:szCs w:val="24"/>
      <w:lang w:val="en-US" w:eastAsia="en-US"/>
    </w:rPr>
  </w:style>
  <w:style w:type="character" w:styleId="af3">
    <w:name w:val="Hyperlink"/>
    <w:basedOn w:val="a0"/>
    <w:uiPriority w:val="99"/>
    <w:unhideWhenUsed/>
    <w:locked/>
    <w:rPr>
      <w:color w:val="0000FF"/>
      <w:u w:val="single"/>
    </w:rPr>
  </w:style>
  <w:style w:type="character" w:styleId="af4">
    <w:name w:val="Strong"/>
    <w:basedOn w:val="a0"/>
    <w:qFormat/>
    <w:locked/>
    <w:rPr>
      <w:b/>
      <w:bCs/>
    </w:rPr>
  </w:style>
  <w:style w:type="paragraph" w:styleId="af5">
    <w:name w:val="TOC Heading"/>
    <w:basedOn w:val="1"/>
    <w:next w:val="a"/>
    <w:uiPriority w:val="39"/>
    <w:semiHidden/>
    <w:unhideWhenUsed/>
    <w:qFormat/>
    <w:pPr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locked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qFormat/>
    <w:locked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qFormat/>
    <w:locked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f6">
    <w:name w:val="footnote text"/>
    <w:basedOn w:val="a"/>
    <w:link w:val="af7"/>
    <w:uiPriority w:val="99"/>
    <w:unhideWhenUsed/>
    <w:locked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Pr>
      <w:lang w:val="en-US" w:eastAsia="en-US"/>
    </w:rPr>
  </w:style>
  <w:style w:type="character" w:styleId="af8">
    <w:name w:val="footnote reference"/>
    <w:basedOn w:val="a0"/>
    <w:uiPriority w:val="99"/>
    <w:unhideWhenUsed/>
    <w:locked/>
    <w:rPr>
      <w:vertAlign w:val="superscript"/>
    </w:rPr>
  </w:style>
  <w:style w:type="table" w:customStyle="1" w:styleId="12">
    <w:name w:val="Сетка таблицы1"/>
    <w:basedOn w:val="a1"/>
    <w:next w:val="af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lock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hAnsi="Courier New" w:cs="Courier New"/>
    </w:rPr>
  </w:style>
  <w:style w:type="paragraph" w:customStyle="1" w:styleId="Head1">
    <w:name w:val="Head1"/>
    <w:next w:val="a"/>
    <w:pPr>
      <w:keepNext/>
      <w:numPr>
        <w:numId w:val="4"/>
      </w:numPr>
      <w:spacing w:before="480" w:after="120"/>
      <w:jc w:val="both"/>
      <w:outlineLvl w:val="0"/>
    </w:pPr>
    <w:rPr>
      <w:b/>
      <w:bCs/>
      <w:sz w:val="32"/>
      <w:szCs w:val="32"/>
    </w:rPr>
  </w:style>
  <w:style w:type="paragraph" w:customStyle="1" w:styleId="Head2">
    <w:name w:val="Head2"/>
    <w:next w:val="a"/>
    <w:pPr>
      <w:keepNext/>
      <w:numPr>
        <w:ilvl w:val="1"/>
        <w:numId w:val="4"/>
      </w:numPr>
      <w:spacing w:before="120" w:after="120"/>
      <w:jc w:val="both"/>
      <w:outlineLvl w:val="1"/>
    </w:pPr>
    <w:rPr>
      <w:rFonts w:eastAsia="Calibri"/>
      <w:b/>
      <w:bCs/>
      <w:sz w:val="28"/>
      <w:szCs w:val="28"/>
    </w:rPr>
  </w:style>
  <w:style w:type="paragraph" w:customStyle="1" w:styleId="Head3">
    <w:name w:val="Head3"/>
    <w:next w:val="a"/>
    <w:pPr>
      <w:keepNext/>
      <w:keepLines/>
      <w:numPr>
        <w:ilvl w:val="2"/>
        <w:numId w:val="4"/>
      </w:numPr>
      <w:spacing w:before="120" w:after="120"/>
      <w:jc w:val="both"/>
      <w:outlineLvl w:val="2"/>
    </w:pPr>
    <w:rPr>
      <w:rFonts w:eastAsia="Calibri"/>
      <w:b/>
      <w:bCs/>
      <w:sz w:val="28"/>
      <w:szCs w:val="28"/>
    </w:rPr>
  </w:style>
  <w:style w:type="paragraph" w:customStyle="1" w:styleId="Head4">
    <w:name w:val="Head4"/>
    <w:next w:val="a"/>
    <w:pPr>
      <w:keepNext/>
      <w:numPr>
        <w:ilvl w:val="3"/>
        <w:numId w:val="4"/>
      </w:numPr>
      <w:spacing w:before="120" w:after="120"/>
      <w:jc w:val="both"/>
      <w:outlineLvl w:val="3"/>
    </w:pPr>
    <w:rPr>
      <w:b/>
      <w:bCs/>
      <w:sz w:val="24"/>
      <w:szCs w:val="24"/>
    </w:rPr>
  </w:style>
  <w:style w:type="paragraph" w:customStyle="1" w:styleId="Head5">
    <w:name w:val="Head5"/>
    <w:next w:val="a"/>
    <w:pPr>
      <w:keepNext/>
      <w:numPr>
        <w:ilvl w:val="4"/>
        <w:numId w:val="4"/>
      </w:numPr>
      <w:spacing w:before="120" w:after="120"/>
      <w:jc w:val="both"/>
      <w:outlineLvl w:val="4"/>
    </w:pPr>
    <w:rPr>
      <w:b/>
      <w:iCs/>
      <w:sz w:val="24"/>
      <w:szCs w:val="24"/>
    </w:rPr>
  </w:style>
  <w:style w:type="paragraph" w:customStyle="1" w:styleId="TableInscription">
    <w:name w:val="TableInscription"/>
    <w:next w:val="a"/>
    <w:qFormat/>
    <w:pPr>
      <w:keepNext/>
      <w:numPr>
        <w:ilvl w:val="8"/>
        <w:numId w:val="4"/>
      </w:numPr>
      <w:spacing w:before="240" w:after="120"/>
    </w:pPr>
    <w:rPr>
      <w:sz w:val="24"/>
    </w:rPr>
  </w:style>
  <w:style w:type="paragraph" w:customStyle="1" w:styleId="Head6">
    <w:name w:val="Head6"/>
    <w:next w:val="a"/>
    <w:pPr>
      <w:numPr>
        <w:ilvl w:val="6"/>
        <w:numId w:val="4"/>
      </w:numPr>
    </w:pPr>
    <w:rPr>
      <w:b/>
      <w:i/>
      <w:sz w:val="22"/>
      <w:szCs w:val="24"/>
    </w:rPr>
  </w:style>
  <w:style w:type="paragraph" w:customStyle="1" w:styleId="PlainText">
    <w:name w:val="PlainText"/>
    <w:link w:val="PlainText0"/>
    <w:qFormat/>
    <w:pPr>
      <w:spacing w:before="120"/>
      <w:ind w:firstLine="567"/>
      <w:jc w:val="both"/>
    </w:pPr>
    <w:rPr>
      <w:sz w:val="26"/>
      <w:szCs w:val="24"/>
    </w:rPr>
  </w:style>
  <w:style w:type="character" w:customStyle="1" w:styleId="PlainText0">
    <w:name w:val="PlainText Знак"/>
    <w:link w:val="PlainText"/>
    <w:rPr>
      <w:sz w:val="26"/>
      <w:szCs w:val="24"/>
    </w:rPr>
  </w:style>
  <w:style w:type="paragraph" w:customStyle="1" w:styleId="ItemizedList1">
    <w:name w:val="ItemizedList1"/>
    <w:basedOn w:val="a"/>
    <w:link w:val="ItemizedList10"/>
    <w:qFormat/>
    <w:pPr>
      <w:numPr>
        <w:numId w:val="6"/>
      </w:numPr>
      <w:spacing w:before="120" w:after="120"/>
      <w:jc w:val="both"/>
    </w:pPr>
    <w:rPr>
      <w:rFonts w:eastAsia="Calibri"/>
      <w:sz w:val="26"/>
    </w:rPr>
  </w:style>
  <w:style w:type="character" w:customStyle="1" w:styleId="ItemizedList10">
    <w:name w:val="ItemizedList1 Знак"/>
    <w:link w:val="ItemizedList1"/>
    <w:rPr>
      <w:rFonts w:eastAsia="Calibri"/>
      <w:sz w:val="26"/>
      <w:szCs w:val="24"/>
      <w:lang w:val="en-US" w:eastAsia="en-US"/>
    </w:rPr>
  </w:style>
  <w:style w:type="paragraph" w:customStyle="1" w:styleId="ItemizedList2">
    <w:name w:val="ItemizedList2"/>
    <w:qFormat/>
    <w:pPr>
      <w:numPr>
        <w:numId w:val="5"/>
      </w:numPr>
      <w:spacing w:before="120"/>
      <w:jc w:val="both"/>
    </w:pPr>
    <w:rPr>
      <w:sz w:val="26"/>
      <w:szCs w:val="24"/>
    </w:rPr>
  </w:style>
  <w:style w:type="paragraph" w:customStyle="1" w:styleId="Orderedlist2">
    <w:name w:val="Orderedlist2"/>
    <w:basedOn w:val="a"/>
    <w:pPr>
      <w:numPr>
        <w:ilvl w:val="1"/>
        <w:numId w:val="7"/>
      </w:numPr>
      <w:spacing w:before="120" w:after="120"/>
      <w:jc w:val="both"/>
    </w:pPr>
    <w:rPr>
      <w:lang w:val="ru-RU" w:eastAsia="ru-RU"/>
    </w:rPr>
  </w:style>
  <w:style w:type="paragraph" w:customStyle="1" w:styleId="Orderedlist1">
    <w:name w:val="Orderedlist1"/>
    <w:basedOn w:val="a"/>
    <w:pPr>
      <w:numPr>
        <w:numId w:val="7"/>
      </w:numPr>
      <w:spacing w:before="120" w:after="120"/>
      <w:jc w:val="both"/>
    </w:pPr>
    <w:rPr>
      <w:sz w:val="26"/>
      <w:lang w:val="ru-RU" w:eastAsia="ru-RU"/>
    </w:rPr>
  </w:style>
  <w:style w:type="paragraph" w:customStyle="1" w:styleId="OrderedList3">
    <w:name w:val="OrderedList3"/>
    <w:basedOn w:val="a"/>
    <w:pPr>
      <w:numPr>
        <w:ilvl w:val="2"/>
        <w:numId w:val="7"/>
      </w:numPr>
      <w:spacing w:before="120" w:after="120"/>
      <w:jc w:val="both"/>
    </w:pPr>
    <w:rPr>
      <w:lang w:val="ru-RU" w:eastAsia="ru-RU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39502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08764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33527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6208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2768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5344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39324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0200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2561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27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394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896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5183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1944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015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0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25500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62406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643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4927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36934">
          <w:marLeft w:val="14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92368">
          <w:marLeft w:val="14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8794">
          <w:marLeft w:val="14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2201">
          <w:marLeft w:val="14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0439">
          <w:marLeft w:val="14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8059">
          <w:marLeft w:val="14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7354">
          <w:marLeft w:val="14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15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172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28674">
          <w:marLeft w:val="14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0268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9349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1021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8690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2038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08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207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4144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252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0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6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9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6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8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0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28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79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501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7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04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080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6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2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38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67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3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4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32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0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8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2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7540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623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19672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888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888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1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99FCE8-7FB2-41B8-858B-EB2D36DDB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96</Pages>
  <Words>17781</Words>
  <Characters>143102</Characters>
  <Application>Microsoft Office Word</Application>
  <DocSecurity>0</DocSecurity>
  <Lines>1192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АПРФ</Company>
  <LinksUpToDate>false</LinksUpToDate>
  <CharactersWithSpaces>160562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С.Н</dc:creator>
  <cp:lastModifiedBy>DEFUSR</cp:lastModifiedBy>
  <cp:revision>3</cp:revision>
  <cp:lastPrinted>2017-02-20T10:22:00Z</cp:lastPrinted>
  <dcterms:created xsi:type="dcterms:W3CDTF">2017-03-01T15:01:00Z</dcterms:created>
  <dcterms:modified xsi:type="dcterms:W3CDTF">2017-03-02T13:19:00Z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